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DAB5" w14:textId="77777777" w:rsidR="00934BFC" w:rsidRDefault="00934BFC" w:rsidP="00934BFC"/>
    <w:p w14:paraId="47A8624F" w14:textId="77777777" w:rsidR="00535F4E" w:rsidRDefault="005F34A4" w:rsidP="00535F4E">
      <w:pPr>
        <w:jc w:val="center"/>
        <w:rPr>
          <w:b/>
          <w:sz w:val="28"/>
          <w:szCs w:val="28"/>
        </w:rPr>
      </w:pPr>
      <w:r>
        <w:rPr>
          <w:b/>
          <w:sz w:val="28"/>
          <w:szCs w:val="28"/>
        </w:rPr>
        <w:t>Applied Value Investing</w:t>
      </w:r>
    </w:p>
    <w:p w14:paraId="21D0533B" w14:textId="3EF43258" w:rsidR="00535F4E" w:rsidRPr="00535F4E" w:rsidRDefault="00D05FE9" w:rsidP="00535F4E">
      <w:pPr>
        <w:jc w:val="center"/>
        <w:rPr>
          <w:b/>
          <w:sz w:val="28"/>
          <w:szCs w:val="28"/>
        </w:rPr>
      </w:pPr>
      <w:r>
        <w:rPr>
          <w:b/>
          <w:sz w:val="28"/>
          <w:szCs w:val="28"/>
        </w:rPr>
        <w:t>Fall 202</w:t>
      </w:r>
      <w:r w:rsidR="008B2D09">
        <w:rPr>
          <w:b/>
          <w:sz w:val="28"/>
          <w:szCs w:val="28"/>
        </w:rPr>
        <w:t>2</w:t>
      </w:r>
    </w:p>
    <w:p w14:paraId="1FCCD7D2" w14:textId="17C26362" w:rsidR="006D2A82" w:rsidRDefault="004A3DDA" w:rsidP="00600A5C">
      <w:pPr>
        <w:sectPr w:rsidR="006D2A82">
          <w:headerReference w:type="default" r:id="rId8"/>
          <w:footerReference w:type="default" r:id="rId9"/>
          <w:type w:val="continuous"/>
          <w:pgSz w:w="12240" w:h="15840"/>
          <w:pgMar w:top="1440" w:right="720" w:bottom="1440" w:left="720" w:header="720" w:footer="720" w:gutter="0"/>
          <w:cols w:space="720"/>
        </w:sectPr>
      </w:pPr>
      <w:r>
        <w:t>Professor: Anuroop Duggal</w:t>
      </w:r>
      <w:r w:rsidR="00600A5C">
        <w:t>, Greg Slavin</w:t>
      </w:r>
    </w:p>
    <w:p w14:paraId="1080462B" w14:textId="17808AD4" w:rsidR="00934BFC" w:rsidRDefault="004A3DDA" w:rsidP="00934BFC">
      <w:r>
        <w:t>Scheduled Class Time</w:t>
      </w:r>
      <w:r w:rsidR="00535F4E">
        <w:t>:</w:t>
      </w:r>
      <w:r>
        <w:t xml:space="preserve"> </w:t>
      </w:r>
      <w:r w:rsidR="00BA726F">
        <w:t xml:space="preserve">Thursdays, </w:t>
      </w:r>
      <w:r w:rsidR="008B2D09">
        <w:t>6</w:t>
      </w:r>
      <w:r w:rsidR="00BA726F">
        <w:t>:00-</w:t>
      </w:r>
      <w:r w:rsidR="008B2D09">
        <w:t>9</w:t>
      </w:r>
      <w:r w:rsidR="005B4E7A">
        <w:t>:15</w:t>
      </w:r>
      <w:r>
        <w:t>pm</w:t>
      </w:r>
    </w:p>
    <w:p w14:paraId="49213BCE" w14:textId="232D077F" w:rsidR="00934BFC" w:rsidRDefault="00934BFC" w:rsidP="00BA726F">
      <w:pPr>
        <w:spacing w:after="0"/>
      </w:pPr>
      <w:r>
        <w:t>E-mail:</w:t>
      </w:r>
      <w:r w:rsidR="001C40AC">
        <w:t xml:space="preserve">  </w:t>
      </w:r>
      <w:hyperlink r:id="rId10" w:history="1">
        <w:r w:rsidR="004A3DDA" w:rsidRPr="00056517">
          <w:rPr>
            <w:rStyle w:val="Hyperlink"/>
          </w:rPr>
          <w:t>anuroop.duggal@gmail.com</w:t>
        </w:r>
      </w:hyperlink>
      <w:r w:rsidR="00BA726F">
        <w:rPr>
          <w:rStyle w:val="Hyperlink"/>
        </w:rPr>
        <w:t>;</w:t>
      </w:r>
      <w:r w:rsidR="00BA726F" w:rsidRPr="00BA726F">
        <w:rPr>
          <w:rStyle w:val="Hyperlink"/>
          <w:u w:val="none"/>
        </w:rPr>
        <w:t xml:space="preserve">  </w:t>
      </w:r>
      <w:hyperlink r:id="rId11" w:history="1">
        <w:r w:rsidR="00600A5C" w:rsidRPr="009B1429">
          <w:rPr>
            <w:rStyle w:val="Hyperlink"/>
          </w:rPr>
          <w:t>ad3415@columbia.edu</w:t>
        </w:r>
      </w:hyperlink>
      <w:r w:rsidR="00600A5C">
        <w:t xml:space="preserve">; </w:t>
      </w:r>
      <w:hyperlink r:id="rId12" w:history="1">
        <w:r w:rsidR="00600A5C" w:rsidRPr="009B1429">
          <w:rPr>
            <w:rStyle w:val="Hyperlink"/>
          </w:rPr>
          <w:t>gs3178@gsb.columbia.edu</w:t>
        </w:r>
      </w:hyperlink>
    </w:p>
    <w:p w14:paraId="71FF86EA" w14:textId="77777777" w:rsidR="00600A5C" w:rsidRPr="00BA726F" w:rsidRDefault="00600A5C" w:rsidP="00BA726F">
      <w:pPr>
        <w:spacing w:after="0"/>
        <w:rPr>
          <w:color w:val="0000FF" w:themeColor="hyperlink"/>
        </w:rPr>
      </w:pPr>
    </w:p>
    <w:p w14:paraId="1B0035C4" w14:textId="77777777" w:rsidR="00535F4E" w:rsidRDefault="00535F4E" w:rsidP="00934BFC">
      <w:pPr>
        <w:sectPr w:rsidR="00535F4E">
          <w:type w:val="continuous"/>
          <w:pgSz w:w="12240" w:h="15840"/>
          <w:pgMar w:top="1440" w:right="720" w:bottom="1440" w:left="720" w:header="720" w:footer="720" w:gutter="0"/>
          <w:cols w:space="720"/>
          <w:docGrid w:linePitch="360"/>
        </w:sectPr>
      </w:pPr>
    </w:p>
    <w:p w14:paraId="721B5134" w14:textId="4E76C786" w:rsidR="00934BFC" w:rsidRDefault="00D66535" w:rsidP="00934BFC">
      <w:r>
        <w:rPr>
          <w:noProof/>
        </w:rPr>
        <mc:AlternateContent>
          <mc:Choice Requires="wps">
            <w:drawing>
              <wp:anchor distT="4294967294" distB="4294967294" distL="114300" distR="114300" simplePos="0" relativeHeight="251659264" behindDoc="0" locked="0" layoutInCell="1" allowOverlap="1" wp14:anchorId="026FF7BD" wp14:editId="75F18B38">
                <wp:simplePos x="0" y="0"/>
                <wp:positionH relativeFrom="column">
                  <wp:posOffset>-1000125</wp:posOffset>
                </wp:positionH>
                <wp:positionV relativeFrom="paragraph">
                  <wp:posOffset>121919</wp:posOffset>
                </wp:positionV>
                <wp:extent cx="8105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48B26"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dDwgEAAN8DAAAOAAAAZHJzL2Uyb0RvYy54bWysU9uO0zAQfUfiHyy/0yQrLbuKmu5DV/Cy&#10;gorCB3idcWPhm8amSf+esdOEq4RAvFix55yZOWcm24fJGnYGjNq7jjebmjNw0vfanTr+6eObV/ec&#10;xSRcL4x30PELRP6we/liO4YWbvzgTQ/IKImL7Rg6PqQU2qqKcgAr4sYHcBRUHq1IdMVT1aMYKbs1&#10;1U1dv65Gj31ALyFGen2cg3xX8isFMr1XKkJipuPUWyonlvM5n9VuK9oTijBoeW1D/EMXVmhHRddU&#10;jyIJ9gX1L6msluijV2kjva28UlpC0UBqmvonNcdBBChayJwYVpvi/0sr350PyHRPs+PMCUsjOiYU&#10;+jQktvfOkYEeWZN9GkNsCb53B8xK5eSO4cnLz5Fi1Q/BfIlhhk0KbYaTVDYV3y+r7zAlJunxvqlv&#10;7+5uOZNLrBLtQgwY01vwluWPjhvtsiWiFeenmHJp0S6Qax9z6dJEuhjIYOM+gCKZVKwp7LJgsDfI&#10;zoJWQ0gJLhWZlK+gM01pY1Zi/WfiFZ+pUJbvb8gro1T2Lq1kq53H31VP09KymvGLA7PubMGz7y8H&#10;XEZEW1Qcu258XtPv74X+7b/cfQUAAP//AwBQSwMEFAAGAAgAAAAhAEFFI43hAAAACwEAAA8AAABk&#10;cnMvZG93bnJldi54bWxMj8FOwzAQRO9I/IO1SFxQ66Qi0IY4FSBVPVCEaPgAN16SiHgdxU6a8vVs&#10;xQGOO/M0O5OtJ9uKEXvfOFIQzyMQSKUzDVUKPorNbAnCB01Gt45QwQk9rPPLi0ynxh3pHcd9qASH&#10;kE+1gjqELpXSlzVa7eeuQ2Lv0/VWBz77SppeHznctnIRRXfS6ob4Q607fK6x/NoPVsF284QvyWmo&#10;bk2yLW7GYvf6/bZU6vpqenwAEXAKfzCc63N1yLnTwQ1kvGgVzOLkPmGWndUCxJmI4xXPO/wqMs/k&#10;/w35DwAAAP//AwBQSwECLQAUAAYACAAAACEAtoM4kv4AAADhAQAAEwAAAAAAAAAAAAAAAAAAAAAA&#10;W0NvbnRlbnRfVHlwZXNdLnhtbFBLAQItABQABgAIAAAAIQA4/SH/1gAAAJQBAAALAAAAAAAAAAAA&#10;AAAAAC8BAABfcmVscy8ucmVsc1BLAQItABQABgAIAAAAIQDn8GdDwgEAAN8DAAAOAAAAAAAAAAAA&#10;AAAAAC4CAABkcnMvZTJvRG9jLnhtbFBLAQItABQABgAIAAAAIQBBRSON4QAAAAsBAAAPAAAAAAAA&#10;AAAAAAAAABwEAABkcnMvZG93bnJldi54bWxQSwUGAAAAAAQABADzAAAAKgUAAAAA&#10;" strokecolor="#4579b8 [3044]">
                <o:lock v:ext="edit" shapetype="f"/>
              </v:line>
            </w:pict>
          </mc:Fallback>
        </mc:AlternateContent>
      </w:r>
    </w:p>
    <w:p w14:paraId="6AD1E8CC" w14:textId="6042C5B9" w:rsidR="004A3DDA" w:rsidRPr="004A3DDA" w:rsidRDefault="004A3DDA" w:rsidP="00934BFC">
      <w:pPr>
        <w:rPr>
          <w:b/>
          <w:u w:val="single"/>
        </w:rPr>
      </w:pPr>
      <w:r w:rsidRPr="004A3DDA">
        <w:rPr>
          <w:b/>
          <w:u w:val="single"/>
        </w:rPr>
        <w:t>COURSE DESCRIPTION / OBJECTIVES</w:t>
      </w:r>
    </w:p>
    <w:p w14:paraId="787BF8AA" w14:textId="35C5D6BF" w:rsidR="00D41947" w:rsidRDefault="00D41947" w:rsidP="004A3DDA">
      <w:pPr>
        <w:spacing w:line="240" w:lineRule="auto"/>
      </w:pPr>
      <w:r>
        <w:t>The objective of this co</w:t>
      </w:r>
      <w:r w:rsidR="00812388">
        <w:t xml:space="preserve">urse is to </w:t>
      </w:r>
      <w:r w:rsidR="005B3D52">
        <w:t xml:space="preserve">provide a solid foundation in researching, developing, and presenting </w:t>
      </w:r>
      <w:r w:rsidR="00AC0197">
        <w:t xml:space="preserve">attractive </w:t>
      </w:r>
      <w:r w:rsidR="005A2276">
        <w:t>investment ideas</w:t>
      </w:r>
      <w:r w:rsidR="006A4C53">
        <w:t>,</w:t>
      </w:r>
      <w:r w:rsidR="005B3D52">
        <w:t xml:space="preserve"> </w:t>
      </w:r>
      <w:r w:rsidR="006A4C53">
        <w:t xml:space="preserve">and to provide insight into the requirements of </w:t>
      </w:r>
      <w:r w:rsidR="00AC0197">
        <w:t>an analyst at a</w:t>
      </w:r>
      <w:r w:rsidR="006A4C53">
        <w:t>n investment</w:t>
      </w:r>
      <w:r w:rsidR="00AC0197">
        <w:t xml:space="preserve"> fund.</w:t>
      </w:r>
      <w:r w:rsidR="005A2276">
        <w:t xml:space="preserve"> The course will </w:t>
      </w:r>
      <w:r w:rsidR="00812388">
        <w:t>utilize</w:t>
      </w:r>
      <w:r w:rsidR="005B3D52">
        <w:t xml:space="preserve"> the concepts of valuation and ind</w:t>
      </w:r>
      <w:r w:rsidR="00AC0197">
        <w:t>ustry/business analysis from other</w:t>
      </w:r>
      <w:r w:rsidR="005B3D52">
        <w:t xml:space="preserve"> courses and apply them to real-world </w:t>
      </w:r>
      <w:r w:rsidR="003901FC">
        <w:t>investments</w:t>
      </w:r>
      <w:r w:rsidR="00812388">
        <w:t>.</w:t>
      </w:r>
      <w:r w:rsidR="00AC0197">
        <w:t xml:space="preserve"> </w:t>
      </w:r>
      <w:r w:rsidR="00473274">
        <w:t xml:space="preserve">A number of topics will be covered in the course, </w:t>
      </w:r>
      <w:r w:rsidR="00047556">
        <w:t>including the following:</w:t>
      </w:r>
      <w:r w:rsidR="00E2684D">
        <w:t xml:space="preserve"> </w:t>
      </w:r>
    </w:p>
    <w:p w14:paraId="6A11DAB9" w14:textId="10F23788" w:rsidR="00047556" w:rsidRDefault="00047556" w:rsidP="00047556">
      <w:pPr>
        <w:pStyle w:val="ListParagraph"/>
        <w:numPr>
          <w:ilvl w:val="0"/>
          <w:numId w:val="10"/>
        </w:numPr>
        <w:spacing w:line="240" w:lineRule="auto"/>
      </w:pPr>
      <w:r>
        <w:t>Developing an Investment Process</w:t>
      </w:r>
    </w:p>
    <w:p w14:paraId="574BC5DB" w14:textId="1125C963" w:rsidR="00047556" w:rsidRDefault="00047556" w:rsidP="00047556">
      <w:pPr>
        <w:pStyle w:val="ListParagraph"/>
        <w:numPr>
          <w:ilvl w:val="0"/>
          <w:numId w:val="10"/>
        </w:numPr>
        <w:spacing w:line="240" w:lineRule="auto"/>
      </w:pPr>
      <w:r>
        <w:t>Understanding Business Models</w:t>
      </w:r>
      <w:r w:rsidR="00E2684D">
        <w:t xml:space="preserve"> &amp; </w:t>
      </w:r>
      <w:r w:rsidR="006A49F4">
        <w:t xml:space="preserve">Unit </w:t>
      </w:r>
      <w:r>
        <w:t>Economics of a Business</w:t>
      </w:r>
    </w:p>
    <w:p w14:paraId="3469AE41" w14:textId="00A7FD2B" w:rsidR="00047556" w:rsidRDefault="00047556" w:rsidP="00047556">
      <w:pPr>
        <w:pStyle w:val="ListParagraph"/>
        <w:numPr>
          <w:ilvl w:val="0"/>
          <w:numId w:val="10"/>
        </w:numPr>
        <w:spacing w:line="240" w:lineRule="auto"/>
      </w:pPr>
      <w:r>
        <w:t xml:space="preserve">How to </w:t>
      </w:r>
      <w:r w:rsidR="004B295C">
        <w:t>Incorporate</w:t>
      </w:r>
      <w:r>
        <w:t xml:space="preserve"> Macro Factors in the Analysis</w:t>
      </w:r>
    </w:p>
    <w:p w14:paraId="6BFDDE8A" w14:textId="5CFD3CCD" w:rsidR="004B295C" w:rsidRDefault="004B295C" w:rsidP="00047556">
      <w:pPr>
        <w:pStyle w:val="ListParagraph"/>
        <w:numPr>
          <w:ilvl w:val="0"/>
          <w:numId w:val="10"/>
        </w:numPr>
        <w:spacing w:line="240" w:lineRule="auto"/>
      </w:pPr>
      <w:r>
        <w:t>Evaluating Management Teams</w:t>
      </w:r>
      <w:r w:rsidR="00E2684D">
        <w:t xml:space="preserve"> &amp; </w:t>
      </w:r>
      <w:r>
        <w:t>Capital Allocation</w:t>
      </w:r>
    </w:p>
    <w:p w14:paraId="565C77E5" w14:textId="72EE0C4F" w:rsidR="004B295C" w:rsidRDefault="004B295C" w:rsidP="004B295C">
      <w:pPr>
        <w:pStyle w:val="ListParagraph"/>
        <w:numPr>
          <w:ilvl w:val="0"/>
          <w:numId w:val="10"/>
        </w:numPr>
        <w:spacing w:line="240" w:lineRule="auto"/>
      </w:pPr>
      <w:r>
        <w:t xml:space="preserve">Modeling </w:t>
      </w:r>
    </w:p>
    <w:p w14:paraId="47A81571" w14:textId="00764144" w:rsidR="004B295C" w:rsidRDefault="004B295C" w:rsidP="004B295C">
      <w:pPr>
        <w:pStyle w:val="ListParagraph"/>
        <w:numPr>
          <w:ilvl w:val="0"/>
          <w:numId w:val="10"/>
        </w:numPr>
        <w:spacing w:line="240" w:lineRule="auto"/>
      </w:pPr>
      <w:r>
        <w:t>Position Management (</w:t>
      </w:r>
      <w:r w:rsidR="00F50F22">
        <w:t>margin of error framework, tail risks, sizing, behavior</w:t>
      </w:r>
      <w:r>
        <w:t>)</w:t>
      </w:r>
    </w:p>
    <w:p w14:paraId="14890FB4" w14:textId="3B0EF18B" w:rsidR="00F50F22" w:rsidRDefault="00047556" w:rsidP="00F50F22">
      <w:pPr>
        <w:pStyle w:val="ListParagraph"/>
        <w:numPr>
          <w:ilvl w:val="0"/>
          <w:numId w:val="10"/>
        </w:numPr>
        <w:spacing w:line="240" w:lineRule="auto"/>
      </w:pPr>
      <w:r>
        <w:t>Valuation</w:t>
      </w:r>
    </w:p>
    <w:p w14:paraId="0D47042C" w14:textId="174531F0" w:rsidR="00047556" w:rsidRDefault="004B295C" w:rsidP="00047556">
      <w:pPr>
        <w:pStyle w:val="ListParagraph"/>
        <w:numPr>
          <w:ilvl w:val="0"/>
          <w:numId w:val="10"/>
        </w:numPr>
        <w:spacing w:line="240" w:lineRule="auto"/>
      </w:pPr>
      <w:r>
        <w:t xml:space="preserve">Long &amp; Short Opportunities </w:t>
      </w:r>
    </w:p>
    <w:p w14:paraId="30D387DD" w14:textId="3ABE5CD5" w:rsidR="005D08DC" w:rsidRDefault="005D08DC" w:rsidP="00047556">
      <w:pPr>
        <w:pStyle w:val="ListParagraph"/>
        <w:numPr>
          <w:ilvl w:val="0"/>
          <w:numId w:val="10"/>
        </w:numPr>
        <w:spacing w:line="240" w:lineRule="auto"/>
      </w:pPr>
      <w:r>
        <w:t>Distressed Credit (</w:t>
      </w:r>
      <w:r w:rsidR="00BF25B1">
        <w:t>dependent upon market environment</w:t>
      </w:r>
      <w:r w:rsidR="008245D2">
        <w:t xml:space="preserve"> / timing</w:t>
      </w:r>
      <w:r>
        <w:t>)</w:t>
      </w:r>
    </w:p>
    <w:p w14:paraId="292AD61F" w14:textId="3AD0A433" w:rsidR="0015297F" w:rsidRDefault="0015297F" w:rsidP="004A3DDA">
      <w:pPr>
        <w:pStyle w:val="ListParagraph"/>
        <w:numPr>
          <w:ilvl w:val="0"/>
          <w:numId w:val="10"/>
        </w:numPr>
        <w:spacing w:line="240" w:lineRule="auto"/>
      </w:pPr>
      <w:r>
        <w:t>Apply</w:t>
      </w:r>
      <w:r w:rsidR="00D5652B">
        <w:t>ing</w:t>
      </w:r>
      <w:r>
        <w:t xml:space="preserve"> a </w:t>
      </w:r>
      <w:r w:rsidR="001C40AC">
        <w:t>Value Investing Framework to N</w:t>
      </w:r>
      <w:r>
        <w:t>on-</w:t>
      </w:r>
      <w:r w:rsidR="001C40AC">
        <w:t>Traditional S</w:t>
      </w:r>
      <w:r>
        <w:t xml:space="preserve">ectors </w:t>
      </w:r>
      <w:r w:rsidR="00E2684D">
        <w:t>(natural resources &amp;</w:t>
      </w:r>
      <w:r>
        <w:t xml:space="preserve"> industrial companies)</w:t>
      </w:r>
    </w:p>
    <w:p w14:paraId="2037136C" w14:textId="2EB2FBB9" w:rsidR="004B295C" w:rsidRDefault="004B295C" w:rsidP="004A3DDA">
      <w:pPr>
        <w:spacing w:line="240" w:lineRule="auto"/>
      </w:pPr>
      <w:r>
        <w:t xml:space="preserve">The course will </w:t>
      </w:r>
      <w:r w:rsidR="00D02C0B">
        <w:t>involve</w:t>
      </w:r>
      <w:r>
        <w:t xml:space="preserve"> a combination of lectures, case studies, class discussions, and stock pitches. However, the</w:t>
      </w:r>
      <w:r w:rsidR="00332B48">
        <w:t xml:space="preserve"> </w:t>
      </w:r>
      <w:r>
        <w:t xml:space="preserve">greatest emphasis </w:t>
      </w:r>
      <w:r w:rsidR="00332B48">
        <w:t xml:space="preserve">will be </w:t>
      </w:r>
      <w:r>
        <w:t>on learning through case studies (real-time investment ideas), for which class discussion will be a vital part. There will be a significant amount of work to prepare for each class and students are expected to actively participate in the class discussions. Given the small nature of the class, each student’s participation is important to maximize the learning of fellow classmates.</w:t>
      </w:r>
    </w:p>
    <w:p w14:paraId="75D29A35" w14:textId="13D93D8D" w:rsidR="00AC0197" w:rsidRDefault="00473274" w:rsidP="004A3DDA">
      <w:pPr>
        <w:spacing w:line="240" w:lineRule="auto"/>
      </w:pPr>
      <w:r>
        <w:t>As the course progresses, students should increasingly be able to identify and focus on the key drivers of an investment</w:t>
      </w:r>
      <w:r w:rsidR="00D66535">
        <w:t xml:space="preserve"> </w:t>
      </w:r>
      <w:r>
        <w:t xml:space="preserve">and also get comfortable dealing with imperfect information. </w:t>
      </w:r>
      <w:r w:rsidR="00AC0197">
        <w:t>By the end of th</w:t>
      </w:r>
      <w:r w:rsidR="00332B48">
        <w:t>e course</w:t>
      </w:r>
      <w:r w:rsidR="00AC0197">
        <w:t xml:space="preserve"> students should </w:t>
      </w:r>
      <w:r w:rsidR="00047556">
        <w:t xml:space="preserve">gain an appreciation for how to develop a solid investment process, improve their ability to frame and present an investment idea, and enhance their understanding of </w:t>
      </w:r>
      <w:r w:rsidR="00AC0197">
        <w:t>practical considerations</w:t>
      </w:r>
      <w:r w:rsidR="00047556">
        <w:t xml:space="preserve"> </w:t>
      </w:r>
      <w:r w:rsidR="00F50F22">
        <w:t>w</w:t>
      </w:r>
      <w:r w:rsidR="00332B48">
        <w:t xml:space="preserve">hen </w:t>
      </w:r>
      <w:r w:rsidR="003901FC">
        <w:t>looking</w:t>
      </w:r>
      <w:r w:rsidR="00332B48">
        <w:t xml:space="preserve"> at an investment for</w:t>
      </w:r>
      <w:r w:rsidR="00F50F22">
        <w:t xml:space="preserve"> a </w:t>
      </w:r>
      <w:r w:rsidR="003901FC">
        <w:t xml:space="preserve">buy-side </w:t>
      </w:r>
      <w:r w:rsidR="00F50F22">
        <w:t>fund</w:t>
      </w:r>
      <w:r w:rsidR="00AC0197">
        <w:t>.</w:t>
      </w:r>
    </w:p>
    <w:p w14:paraId="5AEE8159" w14:textId="595BAA77" w:rsidR="004A3DDA" w:rsidRDefault="00885A04" w:rsidP="004A3DDA">
      <w:pPr>
        <w:spacing w:line="240" w:lineRule="auto"/>
      </w:pPr>
      <w:r>
        <w:t>The classes will be supplemented by guest speakers (fund manag</w:t>
      </w:r>
      <w:r w:rsidR="00E2684D">
        <w:t>ers/</w:t>
      </w:r>
      <w:r>
        <w:t xml:space="preserve">senior investment professionals) from the investment industry. </w:t>
      </w:r>
      <w:r w:rsidR="00A14CE7">
        <w:t>The</w:t>
      </w:r>
      <w:r w:rsidR="0015297F">
        <w:t xml:space="preserve"> objective of the guest speakers</w:t>
      </w:r>
      <w:r w:rsidR="00A14CE7">
        <w:t xml:space="preserve"> will be to </w:t>
      </w:r>
      <w:r>
        <w:t xml:space="preserve">expose students to a variety of investment strategies </w:t>
      </w:r>
      <w:r w:rsidR="00A14CE7">
        <w:t xml:space="preserve">that are </w:t>
      </w:r>
      <w:r w:rsidR="001C40AC">
        <w:t xml:space="preserve">based on </w:t>
      </w:r>
      <w:r w:rsidR="00A14CE7">
        <w:t>fundamental analysis.</w:t>
      </w:r>
    </w:p>
    <w:p w14:paraId="53A792EC" w14:textId="77777777" w:rsidR="00F50F22" w:rsidRDefault="00F50F22" w:rsidP="00F50F22">
      <w:pPr>
        <w:rPr>
          <w:b/>
        </w:rPr>
      </w:pPr>
    </w:p>
    <w:p w14:paraId="74490762" w14:textId="77777777" w:rsidR="00F50F22" w:rsidRPr="00934BFC" w:rsidRDefault="00F50F22" w:rsidP="00F50F22">
      <w:pPr>
        <w:rPr>
          <w:b/>
        </w:rPr>
      </w:pPr>
      <w:r w:rsidRPr="00934BFC">
        <w:rPr>
          <w:b/>
        </w:rPr>
        <w:lastRenderedPageBreak/>
        <w:t>ASSIGNMENTS</w:t>
      </w:r>
    </w:p>
    <w:p w14:paraId="15B301CB" w14:textId="22041FE1" w:rsidR="00175BC3" w:rsidRDefault="00796BA8" w:rsidP="00F50F22">
      <w:pPr>
        <w:outlineLvl w:val="0"/>
      </w:pPr>
      <w:r>
        <w:t>T</w:t>
      </w:r>
      <w:r w:rsidR="001C40AC">
        <w:t>he majority of</w:t>
      </w:r>
      <w:r w:rsidR="00DA508B">
        <w:t xml:space="preserve"> classes will include</w:t>
      </w:r>
      <w:r>
        <w:t xml:space="preserve"> a discussion on 1-2 companies/stocks that will be chosen by the instructor. Students will be required to research these companies </w:t>
      </w:r>
      <w:r w:rsidR="00175BC3">
        <w:t>(</w:t>
      </w:r>
      <w:r w:rsidR="00DA508B">
        <w:t>max</w:t>
      </w:r>
      <w:r w:rsidR="00E2684D">
        <w:t>imum</w:t>
      </w:r>
      <w:r w:rsidR="00DA508B">
        <w:t xml:space="preserve"> </w:t>
      </w:r>
      <w:r w:rsidR="00175BC3">
        <w:t>one per week for an</w:t>
      </w:r>
      <w:r w:rsidR="00DA508B">
        <w:t>y</w:t>
      </w:r>
      <w:r w:rsidR="001C40AC">
        <w:t xml:space="preserve"> individual student)</w:t>
      </w:r>
      <w:r w:rsidR="00175BC3">
        <w:t xml:space="preserve"> </w:t>
      </w:r>
      <w:r w:rsidR="00DA508B">
        <w:t>and submit their work (</w:t>
      </w:r>
      <w:proofErr w:type="gramStart"/>
      <w:r w:rsidR="00DA508B">
        <w:t>1-2 page</w:t>
      </w:r>
      <w:proofErr w:type="gramEnd"/>
      <w:r w:rsidR="00DA508B">
        <w:t xml:space="preserve"> investment memo</w:t>
      </w:r>
      <w:r w:rsidR="00175BC3">
        <w:t xml:space="preserve"> </w:t>
      </w:r>
      <w:r>
        <w:t xml:space="preserve">&amp; </w:t>
      </w:r>
      <w:r w:rsidR="00DA508B">
        <w:t xml:space="preserve">supporting </w:t>
      </w:r>
      <w:r>
        <w:t>model</w:t>
      </w:r>
      <w:r w:rsidR="00DA508B">
        <w:t>)</w:t>
      </w:r>
      <w:r>
        <w:t xml:space="preserve"> </w:t>
      </w:r>
      <w:r w:rsidR="00E2684D">
        <w:t>at a pre-set</w:t>
      </w:r>
      <w:r>
        <w:t xml:space="preserve"> time before each class. </w:t>
      </w:r>
      <w:r w:rsidR="00175BC3">
        <w:t>S</w:t>
      </w:r>
      <w:r w:rsidR="00E2684D">
        <w:t>tudents should expect to do ~2</w:t>
      </w:r>
      <w:r w:rsidR="00D02C0B">
        <w:t>-3</w:t>
      </w:r>
      <w:r w:rsidR="00175BC3">
        <w:t xml:space="preserve"> pitches in front of the class before the final project.</w:t>
      </w:r>
      <w:r w:rsidR="00DA508B">
        <w:t xml:space="preserve"> As the course progresses, </w:t>
      </w:r>
      <w:r w:rsidR="00273386">
        <w:t>guest speakers from various funds may be invited to help lead the discussion of certain companies / cases.</w:t>
      </w:r>
      <w:r w:rsidR="00D5652B">
        <w:t xml:space="preserve"> The companies assig</w:t>
      </w:r>
      <w:r w:rsidR="00E0798F">
        <w:t xml:space="preserve">ned will cover a variety of </w:t>
      </w:r>
      <w:r w:rsidR="00D5652B">
        <w:t>sectors, with a number of them related to the natural resources &amp; industrial sectors.</w:t>
      </w:r>
      <w:r w:rsidR="005D08DC">
        <w:t xml:space="preserve"> </w:t>
      </w:r>
    </w:p>
    <w:p w14:paraId="24364CDE" w14:textId="3D10AA0F" w:rsidR="00473274" w:rsidRDefault="00796BA8" w:rsidP="00F50F22">
      <w:pPr>
        <w:outlineLvl w:val="0"/>
      </w:pPr>
      <w:r>
        <w:t>Supplemental reading (max</w:t>
      </w:r>
      <w:r w:rsidR="00E2684D">
        <w:t>imum</w:t>
      </w:r>
      <w:r>
        <w:t xml:space="preserve"> 1-2 hours per week) may also be assigned; these readings will </w:t>
      </w:r>
      <w:r w:rsidR="00175BC3">
        <w:t>be related to a topic to be discussed in class or the company that is assigned in a given week.</w:t>
      </w:r>
      <w:r w:rsidR="00DA508B">
        <w:t xml:space="preserve"> It is also recommended that the students keep abreast of current affairs (</w:t>
      </w:r>
      <w:r w:rsidR="00E2684D">
        <w:t>major newspapers</w:t>
      </w:r>
      <w:r w:rsidR="00DA508B">
        <w:t xml:space="preserve">, </w:t>
      </w:r>
      <w:r w:rsidR="0015297F">
        <w:t xml:space="preserve">The </w:t>
      </w:r>
      <w:r w:rsidR="00DA508B">
        <w:t xml:space="preserve">Economist) in order to </w:t>
      </w:r>
      <w:proofErr w:type="gramStart"/>
      <w:r w:rsidR="00DA508B">
        <w:t>have an understanding of</w:t>
      </w:r>
      <w:proofErr w:type="gramEnd"/>
      <w:r w:rsidR="00DA508B">
        <w:t xml:space="preserve"> </w:t>
      </w:r>
      <w:r w:rsidR="00D66535">
        <w:t>key</w:t>
      </w:r>
      <w:r w:rsidR="00DA508B">
        <w:t xml:space="preserve"> factors influencing the global economy.</w:t>
      </w:r>
    </w:p>
    <w:p w14:paraId="7709BE7E" w14:textId="177BF87C" w:rsidR="00796BA8" w:rsidRDefault="00175BC3" w:rsidP="00F50F22">
      <w:pPr>
        <w:outlineLvl w:val="0"/>
      </w:pPr>
      <w:r>
        <w:t>The final project will be an individual stock analysis. Students will</w:t>
      </w:r>
      <w:r w:rsidR="00DA508B">
        <w:t xml:space="preserve"> be required to submit an</w:t>
      </w:r>
      <w:r>
        <w:t xml:space="preserve"> investment memo</w:t>
      </w:r>
      <w:r w:rsidR="00DA508B">
        <w:t xml:space="preserve"> and supporting model</w:t>
      </w:r>
      <w:r>
        <w:t xml:space="preserve"> on</w:t>
      </w:r>
      <w:r w:rsidR="00DA508B">
        <w:t xml:space="preserve"> a security of their choice. The last two classes will consist of students presenting their final project and facilitating </w:t>
      </w:r>
      <w:r w:rsidR="00D66535">
        <w:t xml:space="preserve">a brief </w:t>
      </w:r>
      <w:r w:rsidR="00DA508B">
        <w:t xml:space="preserve">Q&amp;A </w:t>
      </w:r>
      <w:r w:rsidR="00D66535">
        <w:t>session</w:t>
      </w:r>
      <w:r w:rsidR="00DA508B">
        <w:t xml:space="preserve"> on their investment thesis.</w:t>
      </w:r>
      <w:r>
        <w:t xml:space="preserve"> </w:t>
      </w:r>
    </w:p>
    <w:p w14:paraId="1A589C29" w14:textId="77777777" w:rsidR="00796BA8" w:rsidRDefault="00796BA8" w:rsidP="00F50F22">
      <w:pPr>
        <w:outlineLvl w:val="0"/>
      </w:pPr>
    </w:p>
    <w:p w14:paraId="00D2814B" w14:textId="77777777" w:rsidR="00F50F22" w:rsidRPr="00F67125" w:rsidRDefault="00F50F22" w:rsidP="00F50F22">
      <w:pPr>
        <w:rPr>
          <w:b/>
        </w:rPr>
      </w:pPr>
      <w:r>
        <w:rPr>
          <w:b/>
        </w:rPr>
        <w:t>METHOD OF EVALUATION</w:t>
      </w:r>
    </w:p>
    <w:tbl>
      <w:tblPr>
        <w:tblStyle w:val="TableGrid"/>
        <w:tblW w:w="0" w:type="auto"/>
        <w:tblLook w:val="04A0" w:firstRow="1" w:lastRow="0" w:firstColumn="1" w:lastColumn="0" w:noHBand="0" w:noVBand="1"/>
      </w:tblPr>
      <w:tblGrid>
        <w:gridCol w:w="3888"/>
        <w:gridCol w:w="1080"/>
      </w:tblGrid>
      <w:tr w:rsidR="00F50F22" w:rsidRPr="00F67125" w14:paraId="66BEF845" w14:textId="77777777" w:rsidTr="00500FFA">
        <w:tc>
          <w:tcPr>
            <w:tcW w:w="3888" w:type="dxa"/>
          </w:tcPr>
          <w:p w14:paraId="26B6D165" w14:textId="77777777" w:rsidR="00F50F22" w:rsidRPr="00F67125" w:rsidRDefault="00F50F22" w:rsidP="00500FFA">
            <w:r>
              <w:t>Class Participation</w:t>
            </w:r>
          </w:p>
        </w:tc>
        <w:tc>
          <w:tcPr>
            <w:tcW w:w="1080" w:type="dxa"/>
          </w:tcPr>
          <w:p w14:paraId="4E8BDD8B" w14:textId="26A0BC2D" w:rsidR="00F50F22" w:rsidRPr="00F67125" w:rsidRDefault="00F50F22" w:rsidP="00500FFA">
            <w:r>
              <w:t>35</w:t>
            </w:r>
            <w:r w:rsidRPr="00F67125">
              <w:t>%</w:t>
            </w:r>
          </w:p>
        </w:tc>
      </w:tr>
      <w:tr w:rsidR="00F50F22" w:rsidRPr="00F67125" w14:paraId="1F1BF5DF" w14:textId="77777777" w:rsidTr="00500FFA">
        <w:tc>
          <w:tcPr>
            <w:tcW w:w="3888" w:type="dxa"/>
          </w:tcPr>
          <w:p w14:paraId="47475E43" w14:textId="325652D6" w:rsidR="00F50F22" w:rsidRPr="00F67125" w:rsidRDefault="00F50F22" w:rsidP="00F50F22">
            <w:r>
              <w:t>Weekly Assignments</w:t>
            </w:r>
          </w:p>
        </w:tc>
        <w:tc>
          <w:tcPr>
            <w:tcW w:w="1080" w:type="dxa"/>
          </w:tcPr>
          <w:p w14:paraId="17F7F919" w14:textId="1A43B3D3" w:rsidR="00F50F22" w:rsidRPr="00F67125" w:rsidRDefault="00F50F22" w:rsidP="00500FFA">
            <w:r>
              <w:t>35</w:t>
            </w:r>
            <w:r w:rsidRPr="00F67125">
              <w:t>%</w:t>
            </w:r>
          </w:p>
        </w:tc>
      </w:tr>
      <w:tr w:rsidR="00F50F22" w14:paraId="436D501F" w14:textId="77777777" w:rsidTr="00500FFA">
        <w:tc>
          <w:tcPr>
            <w:tcW w:w="3888" w:type="dxa"/>
          </w:tcPr>
          <w:p w14:paraId="0EB431EC" w14:textId="367B5337" w:rsidR="00F50F22" w:rsidRPr="00F67125" w:rsidRDefault="00E2684D" w:rsidP="00500FFA">
            <w:r>
              <w:t>Final Presentation/</w:t>
            </w:r>
            <w:r w:rsidR="00F50F22">
              <w:t>Investment Write-up</w:t>
            </w:r>
          </w:p>
        </w:tc>
        <w:tc>
          <w:tcPr>
            <w:tcW w:w="1080" w:type="dxa"/>
          </w:tcPr>
          <w:p w14:paraId="31EBF045" w14:textId="77777777" w:rsidR="00F50F22" w:rsidRPr="00F67125" w:rsidRDefault="00F50F22" w:rsidP="00500FFA">
            <w:r>
              <w:t>3</w:t>
            </w:r>
            <w:r w:rsidRPr="00F67125">
              <w:t>0%</w:t>
            </w:r>
          </w:p>
        </w:tc>
      </w:tr>
    </w:tbl>
    <w:p w14:paraId="78ED80FC" w14:textId="77777777" w:rsidR="004A3DDA" w:rsidRDefault="004A3DDA" w:rsidP="00934BFC"/>
    <w:p w14:paraId="6BEE7432" w14:textId="75DAD83D" w:rsidR="00796BA8" w:rsidRDefault="00E2684D" w:rsidP="00934BFC">
      <w:r>
        <w:t>Individual e</w:t>
      </w:r>
      <w:r w:rsidR="00796BA8">
        <w:t xml:space="preserve">valuation will be based on </w:t>
      </w:r>
      <w:r w:rsidR="00175BC3">
        <w:t>the quality and effort put into the weekly assignments</w:t>
      </w:r>
      <w:r w:rsidR="00796BA8">
        <w:t xml:space="preserve">, </w:t>
      </w:r>
      <w:r w:rsidR="00175BC3">
        <w:t>progress</w:t>
      </w:r>
      <w:r w:rsidR="00796BA8">
        <w:t xml:space="preserve"> over the course</w:t>
      </w:r>
      <w:r w:rsidR="00175BC3">
        <w:t xml:space="preserve"> of the semester, and contribution to the</w:t>
      </w:r>
      <w:r w:rsidR="00D02C0B">
        <w:t xml:space="preserve"> classroom discussion</w:t>
      </w:r>
      <w:r w:rsidR="00A43621">
        <w:t xml:space="preserve"> (a significant number of absences during the course will impact your grade as well as significantly decrease your benefit from the course)</w:t>
      </w:r>
      <w:r w:rsidR="00796BA8">
        <w:t>.</w:t>
      </w:r>
      <w:r w:rsidR="00A43621">
        <w:t xml:space="preserve"> </w:t>
      </w:r>
    </w:p>
    <w:p w14:paraId="6FA01910" w14:textId="77777777" w:rsidR="00796BA8" w:rsidRDefault="00796BA8" w:rsidP="00934BFC"/>
    <w:p w14:paraId="645C6AF6" w14:textId="77777777" w:rsidR="00BF25B1" w:rsidRPr="004A3DDA" w:rsidRDefault="00BF25B1" w:rsidP="00934BFC"/>
    <w:p w14:paraId="5D8F06DD" w14:textId="77777777" w:rsidR="00D66535" w:rsidRDefault="00D66535" w:rsidP="00934BFC">
      <w:pPr>
        <w:rPr>
          <w:b/>
        </w:rPr>
      </w:pPr>
    </w:p>
    <w:p w14:paraId="6821D190" w14:textId="77777777" w:rsidR="00D5652B" w:rsidRDefault="00D5652B" w:rsidP="00934BFC">
      <w:pPr>
        <w:rPr>
          <w:b/>
        </w:rPr>
      </w:pPr>
    </w:p>
    <w:p w14:paraId="59141455" w14:textId="77777777" w:rsidR="00D66535" w:rsidRDefault="00D66535" w:rsidP="00934BFC">
      <w:pPr>
        <w:rPr>
          <w:b/>
        </w:rPr>
      </w:pPr>
    </w:p>
    <w:p w14:paraId="712B2066" w14:textId="77777777" w:rsidR="00D66535" w:rsidRDefault="00D66535" w:rsidP="00934BFC">
      <w:pPr>
        <w:rPr>
          <w:b/>
        </w:rPr>
      </w:pPr>
    </w:p>
    <w:p w14:paraId="1E86DAB9" w14:textId="77777777" w:rsidR="00D66535" w:rsidRDefault="00D66535" w:rsidP="00934BFC">
      <w:pPr>
        <w:rPr>
          <w:b/>
        </w:rPr>
      </w:pPr>
    </w:p>
    <w:p w14:paraId="57A54307" w14:textId="77777777" w:rsidR="00BA726F" w:rsidRDefault="00BA726F" w:rsidP="00934BFC">
      <w:pPr>
        <w:rPr>
          <w:b/>
        </w:rPr>
      </w:pPr>
    </w:p>
    <w:p w14:paraId="1D073027" w14:textId="77777777" w:rsidR="00934BFC" w:rsidRPr="00934BFC" w:rsidRDefault="00934BFC" w:rsidP="00934BFC">
      <w:pPr>
        <w:rPr>
          <w:b/>
        </w:rPr>
      </w:pPr>
      <w:r w:rsidRPr="00934BFC">
        <w:rPr>
          <w:b/>
        </w:rPr>
        <w:lastRenderedPageBreak/>
        <w:t>REQUIRED COURSE MATERIAL</w:t>
      </w:r>
    </w:p>
    <w:p w14:paraId="1CFB2977" w14:textId="77777777" w:rsidR="00934BFC" w:rsidRPr="00934BFC" w:rsidRDefault="00934BFC" w:rsidP="00934BFC">
      <w:pPr>
        <w:rPr>
          <w:b/>
        </w:rPr>
      </w:pPr>
      <w:r w:rsidRPr="00934BFC">
        <w:rPr>
          <w:b/>
        </w:rPr>
        <w:t>REQUIRED PREREQUISITES AND CONNECTION TO THE CORE</w:t>
      </w:r>
    </w:p>
    <w:p w14:paraId="6A727259" w14:textId="77777777" w:rsidR="00394EF6" w:rsidRDefault="006B0B94" w:rsidP="00573C56">
      <w:pPr>
        <w:rPr>
          <w:sz w:val="24"/>
          <w:szCs w:val="24"/>
        </w:rPr>
      </w:pPr>
      <w:r>
        <w:rPr>
          <w:sz w:val="24"/>
          <w:szCs w:val="24"/>
        </w:rPr>
        <w:t>Prerequisite: Capital Markets</w:t>
      </w:r>
    </w:p>
    <w:p w14:paraId="4399C268" w14:textId="77777777" w:rsidR="00573C56" w:rsidRDefault="00573C56" w:rsidP="00573C56">
      <w:pPr>
        <w:rPr>
          <w:sz w:val="24"/>
          <w:szCs w:val="24"/>
        </w:rPr>
      </w:pPr>
      <w:r w:rsidRPr="008A0FDF">
        <w:rPr>
          <w:sz w:val="24"/>
          <w:szCs w:val="24"/>
        </w:rPr>
        <w:t xml:space="preserve">The </w:t>
      </w:r>
      <w:r w:rsidR="00394EF6">
        <w:rPr>
          <w:sz w:val="24"/>
          <w:szCs w:val="24"/>
        </w:rPr>
        <w:t>learning in this course</w:t>
      </w:r>
      <w:r>
        <w:rPr>
          <w:sz w:val="24"/>
          <w:szCs w:val="24"/>
        </w:rPr>
        <w:t xml:space="preserv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654649" w14:paraId="35F7DB7F" w14:textId="77777777">
        <w:tc>
          <w:tcPr>
            <w:tcW w:w="2898" w:type="dxa"/>
          </w:tcPr>
          <w:p w14:paraId="7CC3F634" w14:textId="77777777" w:rsidR="00573C56" w:rsidRPr="00654649" w:rsidRDefault="00573C56" w:rsidP="00AB4AC0">
            <w:pPr>
              <w:rPr>
                <w:b/>
              </w:rPr>
            </w:pPr>
            <w:r>
              <w:rPr>
                <w:b/>
              </w:rPr>
              <w:t>Core Course</w:t>
            </w:r>
          </w:p>
        </w:tc>
        <w:tc>
          <w:tcPr>
            <w:tcW w:w="6678" w:type="dxa"/>
          </w:tcPr>
          <w:p w14:paraId="04C934B6" w14:textId="77777777" w:rsidR="00573C56" w:rsidRPr="00654649" w:rsidRDefault="00573C56" w:rsidP="00AB4AC0">
            <w:pPr>
              <w:rPr>
                <w:b/>
              </w:rPr>
            </w:pPr>
            <w:r>
              <w:rPr>
                <w:b/>
              </w:rPr>
              <w:t>Connection with Core</w:t>
            </w:r>
          </w:p>
        </w:tc>
      </w:tr>
      <w:tr w:rsidR="00573C56" w14:paraId="6EA6D1BF" w14:textId="77777777">
        <w:tc>
          <w:tcPr>
            <w:tcW w:w="2898" w:type="dxa"/>
          </w:tcPr>
          <w:p w14:paraId="00AC6584" w14:textId="77777777" w:rsidR="00573C56" w:rsidRDefault="00BD3572" w:rsidP="00AB4AC0">
            <w:r>
              <w:t>Corporate Finance</w:t>
            </w:r>
          </w:p>
        </w:tc>
        <w:tc>
          <w:tcPr>
            <w:tcW w:w="6678" w:type="dxa"/>
          </w:tcPr>
          <w:p w14:paraId="70BF2C47" w14:textId="77777777" w:rsidR="00BD3572" w:rsidRDefault="00BD3572" w:rsidP="00573C56">
            <w:pPr>
              <w:pStyle w:val="ListParagraph"/>
              <w:numPr>
                <w:ilvl w:val="0"/>
                <w:numId w:val="1"/>
              </w:numPr>
            </w:pPr>
            <w:r>
              <w:t>Cost of Capital</w:t>
            </w:r>
          </w:p>
          <w:p w14:paraId="711289E4" w14:textId="77777777" w:rsidR="00BD3572" w:rsidRDefault="00BD3572" w:rsidP="00573C56">
            <w:pPr>
              <w:pStyle w:val="ListParagraph"/>
              <w:numPr>
                <w:ilvl w:val="0"/>
                <w:numId w:val="1"/>
              </w:numPr>
            </w:pPr>
            <w:r>
              <w:t>Valuation</w:t>
            </w:r>
          </w:p>
          <w:p w14:paraId="6F40DCFF" w14:textId="77777777" w:rsidR="00BD3572" w:rsidRDefault="00BD3572" w:rsidP="00573C56">
            <w:pPr>
              <w:pStyle w:val="ListParagraph"/>
              <w:numPr>
                <w:ilvl w:val="0"/>
                <w:numId w:val="1"/>
              </w:numPr>
            </w:pPr>
            <w:r>
              <w:t>Financing Options</w:t>
            </w:r>
          </w:p>
          <w:p w14:paraId="266B1581" w14:textId="77777777" w:rsidR="00573C56" w:rsidRDefault="00BD3572" w:rsidP="00573C56">
            <w:pPr>
              <w:pStyle w:val="ListParagraph"/>
              <w:numPr>
                <w:ilvl w:val="0"/>
                <w:numId w:val="1"/>
              </w:numPr>
            </w:pPr>
            <w:r>
              <w:t>Time value of money</w:t>
            </w:r>
          </w:p>
          <w:p w14:paraId="7524BADF" w14:textId="77777777" w:rsidR="00573C56" w:rsidRDefault="00BD3572" w:rsidP="00573C56">
            <w:pPr>
              <w:pStyle w:val="ListParagraph"/>
              <w:numPr>
                <w:ilvl w:val="0"/>
                <w:numId w:val="1"/>
              </w:numPr>
            </w:pPr>
            <w:r>
              <w:t>Opportunity cost (of capital)</w:t>
            </w:r>
          </w:p>
          <w:p w14:paraId="1D21E204" w14:textId="77777777" w:rsidR="00573C56" w:rsidRDefault="00BD3572" w:rsidP="00573C56">
            <w:pPr>
              <w:pStyle w:val="ListParagraph"/>
              <w:numPr>
                <w:ilvl w:val="0"/>
                <w:numId w:val="1"/>
              </w:numPr>
            </w:pPr>
            <w:r>
              <w:t>The Capital Asset Pricing Model (CAPM)</w:t>
            </w:r>
          </w:p>
          <w:p w14:paraId="37E88799" w14:textId="77777777" w:rsidR="00BD3572" w:rsidRDefault="00BD3572" w:rsidP="00BD3572">
            <w:pPr>
              <w:pStyle w:val="ListParagraph"/>
              <w:numPr>
                <w:ilvl w:val="0"/>
                <w:numId w:val="1"/>
              </w:numPr>
            </w:pPr>
            <w:r>
              <w:t>Firm Valuation Model</w:t>
            </w:r>
          </w:p>
        </w:tc>
      </w:tr>
      <w:tr w:rsidR="00573C56" w14:paraId="39700909" w14:textId="77777777">
        <w:tc>
          <w:tcPr>
            <w:tcW w:w="2898" w:type="dxa"/>
          </w:tcPr>
          <w:p w14:paraId="10C96C13" w14:textId="77777777" w:rsidR="00573C56" w:rsidRDefault="00BD3572" w:rsidP="00AB4AC0">
            <w:r>
              <w:t>Financial Accounting</w:t>
            </w:r>
          </w:p>
        </w:tc>
        <w:tc>
          <w:tcPr>
            <w:tcW w:w="6678" w:type="dxa"/>
          </w:tcPr>
          <w:p w14:paraId="1A43C6BB" w14:textId="77777777" w:rsidR="00573C56" w:rsidRDefault="00BD3572" w:rsidP="00573C56">
            <w:pPr>
              <w:pStyle w:val="ListParagraph"/>
              <w:numPr>
                <w:ilvl w:val="0"/>
                <w:numId w:val="2"/>
              </w:numPr>
            </w:pPr>
            <w:r>
              <w:t>The “accounting equation”</w:t>
            </w:r>
          </w:p>
          <w:p w14:paraId="352BC5C2" w14:textId="77777777" w:rsidR="00573C56" w:rsidRDefault="00BD3572" w:rsidP="00573C56">
            <w:pPr>
              <w:pStyle w:val="ListParagraph"/>
              <w:numPr>
                <w:ilvl w:val="0"/>
                <w:numId w:val="2"/>
              </w:numPr>
            </w:pPr>
            <w:r>
              <w:t>Revenue and expense recognition</w:t>
            </w:r>
          </w:p>
          <w:p w14:paraId="6B4E6470" w14:textId="77777777" w:rsidR="005F34A4" w:rsidRDefault="00BD3572" w:rsidP="00573C56">
            <w:pPr>
              <w:pStyle w:val="ListParagraph"/>
              <w:numPr>
                <w:ilvl w:val="0"/>
                <w:numId w:val="2"/>
              </w:numPr>
            </w:pPr>
            <w:r>
              <w:t>Resources and obligations – measurement and disclosure</w:t>
            </w:r>
          </w:p>
        </w:tc>
      </w:tr>
      <w:tr w:rsidR="00573C56" w14:paraId="6C6D031B" w14:textId="77777777">
        <w:tc>
          <w:tcPr>
            <w:tcW w:w="2898" w:type="dxa"/>
          </w:tcPr>
          <w:p w14:paraId="1A176AEC" w14:textId="77777777" w:rsidR="00573C56" w:rsidRDefault="00394EF6" w:rsidP="00AB4AC0">
            <w:r>
              <w:t>Global Economic Environment</w:t>
            </w:r>
          </w:p>
        </w:tc>
        <w:tc>
          <w:tcPr>
            <w:tcW w:w="6678" w:type="dxa"/>
          </w:tcPr>
          <w:p w14:paraId="0F6DB29C" w14:textId="77777777" w:rsidR="00394EF6" w:rsidRDefault="00394EF6" w:rsidP="00573C56">
            <w:pPr>
              <w:pStyle w:val="ListParagraph"/>
              <w:numPr>
                <w:ilvl w:val="0"/>
                <w:numId w:val="3"/>
              </w:numPr>
            </w:pPr>
            <w:r>
              <w:t>Risk Management</w:t>
            </w:r>
          </w:p>
          <w:p w14:paraId="7E69BA19" w14:textId="77777777" w:rsidR="00573C56" w:rsidRDefault="00394EF6" w:rsidP="00573C56">
            <w:pPr>
              <w:pStyle w:val="ListParagraph"/>
              <w:numPr>
                <w:ilvl w:val="0"/>
                <w:numId w:val="3"/>
              </w:numPr>
            </w:pPr>
            <w:r>
              <w:t>What is Gross Domestic Product and how is it measured?</w:t>
            </w:r>
          </w:p>
          <w:p w14:paraId="39155076" w14:textId="77777777" w:rsidR="00573C56" w:rsidRDefault="00394EF6" w:rsidP="00394EF6">
            <w:pPr>
              <w:pStyle w:val="ListParagraph"/>
              <w:numPr>
                <w:ilvl w:val="0"/>
                <w:numId w:val="3"/>
              </w:numPr>
            </w:pPr>
            <w:r>
              <w:t>What causes inflation?</w:t>
            </w:r>
          </w:p>
          <w:p w14:paraId="01BC909E" w14:textId="77777777" w:rsidR="00394EF6" w:rsidRDefault="00394EF6" w:rsidP="00394EF6">
            <w:pPr>
              <w:pStyle w:val="ListParagraph"/>
              <w:numPr>
                <w:ilvl w:val="0"/>
                <w:numId w:val="3"/>
              </w:numPr>
            </w:pPr>
            <w:r>
              <w:t>What causes changes in exchange rates?</w:t>
            </w:r>
          </w:p>
          <w:p w14:paraId="3A04B765" w14:textId="77777777" w:rsidR="00394EF6" w:rsidRDefault="00394EF6" w:rsidP="00394EF6">
            <w:pPr>
              <w:pStyle w:val="ListParagraph"/>
              <w:numPr>
                <w:ilvl w:val="0"/>
                <w:numId w:val="3"/>
              </w:numPr>
            </w:pPr>
            <w:r>
              <w:t>What are the causes of business cycles?</w:t>
            </w:r>
          </w:p>
          <w:p w14:paraId="61FC67CC" w14:textId="77777777" w:rsidR="00394EF6" w:rsidRDefault="00394EF6" w:rsidP="00394EF6">
            <w:pPr>
              <w:pStyle w:val="ListParagraph"/>
              <w:numPr>
                <w:ilvl w:val="0"/>
                <w:numId w:val="3"/>
              </w:numPr>
            </w:pPr>
            <w:r>
              <w:t>What are the effects of monetary policy?</w:t>
            </w:r>
          </w:p>
          <w:p w14:paraId="2B26E03E" w14:textId="77777777" w:rsidR="00394EF6" w:rsidRDefault="00394EF6" w:rsidP="00394EF6">
            <w:pPr>
              <w:pStyle w:val="ListParagraph"/>
              <w:numPr>
                <w:ilvl w:val="0"/>
                <w:numId w:val="3"/>
              </w:numPr>
            </w:pPr>
            <w:r>
              <w:t>What are the effects of fiscal policy?</w:t>
            </w:r>
          </w:p>
          <w:p w14:paraId="0D7569EB" w14:textId="77777777" w:rsidR="00394EF6" w:rsidRDefault="00394EF6" w:rsidP="00394EF6">
            <w:pPr>
              <w:pStyle w:val="ListParagraph"/>
              <w:numPr>
                <w:ilvl w:val="0"/>
                <w:numId w:val="3"/>
              </w:numPr>
            </w:pPr>
            <w:r>
              <w:t>What is the role of financial markets in the economy?</w:t>
            </w:r>
          </w:p>
        </w:tc>
      </w:tr>
      <w:tr w:rsidR="00573C56" w14:paraId="59851DBE" w14:textId="77777777">
        <w:tc>
          <w:tcPr>
            <w:tcW w:w="2898" w:type="dxa"/>
          </w:tcPr>
          <w:p w14:paraId="2D1D1F7E" w14:textId="77777777" w:rsidR="00573C56" w:rsidRDefault="00394EF6" w:rsidP="00394EF6">
            <w:r>
              <w:t>Managerial Economics</w:t>
            </w:r>
          </w:p>
        </w:tc>
        <w:tc>
          <w:tcPr>
            <w:tcW w:w="6678" w:type="dxa"/>
          </w:tcPr>
          <w:p w14:paraId="514DE1D7" w14:textId="77777777" w:rsidR="00394EF6" w:rsidRDefault="00394EF6" w:rsidP="00394EF6">
            <w:pPr>
              <w:pStyle w:val="ListParagraph"/>
              <w:numPr>
                <w:ilvl w:val="0"/>
                <w:numId w:val="4"/>
              </w:numPr>
            </w:pPr>
            <w:r>
              <w:t xml:space="preserve">Barriers to entry </w:t>
            </w:r>
          </w:p>
          <w:p w14:paraId="33DDD05F" w14:textId="77777777" w:rsidR="00394EF6" w:rsidRDefault="00394EF6" w:rsidP="00394EF6">
            <w:pPr>
              <w:pStyle w:val="ListParagraph"/>
              <w:numPr>
                <w:ilvl w:val="0"/>
                <w:numId w:val="4"/>
              </w:numPr>
            </w:pPr>
            <w:r>
              <w:t xml:space="preserve">Moats </w:t>
            </w:r>
          </w:p>
          <w:p w14:paraId="5F8F8921" w14:textId="77777777" w:rsidR="00573C56" w:rsidRDefault="00394EF6" w:rsidP="00394EF6">
            <w:pPr>
              <w:pStyle w:val="ListParagraph"/>
              <w:numPr>
                <w:ilvl w:val="0"/>
                <w:numId w:val="4"/>
              </w:numPr>
            </w:pPr>
            <w:r>
              <w:t>Maximization and thinking on the margin</w:t>
            </w:r>
          </w:p>
          <w:p w14:paraId="208C8ECE" w14:textId="77777777" w:rsidR="00394EF6" w:rsidRDefault="00394EF6" w:rsidP="00394EF6">
            <w:pPr>
              <w:pStyle w:val="ListParagraph"/>
              <w:numPr>
                <w:ilvl w:val="0"/>
                <w:numId w:val="4"/>
              </w:numPr>
            </w:pPr>
            <w:r>
              <w:t>Analyzing complex decision-making under uncertainty</w:t>
            </w:r>
          </w:p>
          <w:p w14:paraId="4B4F4A2E" w14:textId="77777777" w:rsidR="00394EF6" w:rsidRDefault="00394EF6" w:rsidP="00394EF6">
            <w:pPr>
              <w:pStyle w:val="ListParagraph"/>
              <w:numPr>
                <w:ilvl w:val="0"/>
                <w:numId w:val="4"/>
              </w:numPr>
            </w:pPr>
            <w:r>
              <w:t>Decision-based cost analysis</w:t>
            </w:r>
          </w:p>
          <w:p w14:paraId="3BDD9C48" w14:textId="77777777" w:rsidR="00394EF6" w:rsidRDefault="00394EF6" w:rsidP="00394EF6">
            <w:pPr>
              <w:pStyle w:val="ListParagraph"/>
              <w:numPr>
                <w:ilvl w:val="0"/>
                <w:numId w:val="4"/>
              </w:numPr>
            </w:pPr>
            <w:r>
              <w:t>Pricing with market power</w:t>
            </w:r>
          </w:p>
          <w:p w14:paraId="3FC13A44" w14:textId="77777777" w:rsidR="00394EF6" w:rsidRDefault="00394EF6" w:rsidP="00394EF6">
            <w:pPr>
              <w:pStyle w:val="ListParagraph"/>
              <w:numPr>
                <w:ilvl w:val="0"/>
                <w:numId w:val="4"/>
              </w:numPr>
            </w:pPr>
            <w:r>
              <w:t>Market segmentation and other advanced pricing strategies</w:t>
            </w:r>
          </w:p>
          <w:p w14:paraId="72E520CF" w14:textId="77777777" w:rsidR="00394EF6" w:rsidRDefault="00394EF6" w:rsidP="00394EF6">
            <w:pPr>
              <w:pStyle w:val="ListParagraph"/>
              <w:numPr>
                <w:ilvl w:val="0"/>
                <w:numId w:val="4"/>
              </w:numPr>
            </w:pPr>
            <w:r>
              <w:t xml:space="preserve">Understanding market competition and equilibrium thinking (in the </w:t>
            </w:r>
            <w:proofErr w:type="gramStart"/>
            <w:r>
              <w:t>short-run</w:t>
            </w:r>
            <w:proofErr w:type="gramEnd"/>
            <w:r>
              <w:t>)</w:t>
            </w:r>
          </w:p>
          <w:p w14:paraId="5B28AACC" w14:textId="77777777" w:rsidR="00394EF6" w:rsidRDefault="00394EF6" w:rsidP="00394EF6">
            <w:pPr>
              <w:pStyle w:val="ListParagraph"/>
              <w:numPr>
                <w:ilvl w:val="0"/>
                <w:numId w:val="4"/>
              </w:numPr>
            </w:pPr>
            <w:r>
              <w:t xml:space="preserve">Market equilibrium thinking (in the </w:t>
            </w:r>
            <w:proofErr w:type="gramStart"/>
            <w:r>
              <w:t>long-run</w:t>
            </w:r>
            <w:proofErr w:type="gramEnd"/>
            <w:r>
              <w:t>) and barriers to entry</w:t>
            </w:r>
          </w:p>
          <w:p w14:paraId="422D28DA" w14:textId="77777777" w:rsidR="00394EF6" w:rsidRDefault="00394EF6" w:rsidP="00394EF6">
            <w:pPr>
              <w:pStyle w:val="ListParagraph"/>
              <w:numPr>
                <w:ilvl w:val="0"/>
                <w:numId w:val="4"/>
              </w:numPr>
            </w:pPr>
            <w:r>
              <w:t>Strategic interaction among firms and Nash equilibrium</w:t>
            </w:r>
          </w:p>
        </w:tc>
      </w:tr>
      <w:tr w:rsidR="00394EF6" w14:paraId="7D02ACAE" w14:textId="77777777">
        <w:tc>
          <w:tcPr>
            <w:tcW w:w="2898" w:type="dxa"/>
          </w:tcPr>
          <w:p w14:paraId="62D2E71A" w14:textId="77777777" w:rsidR="00394EF6" w:rsidRDefault="00394EF6" w:rsidP="00394EF6">
            <w:r>
              <w:t>Strategy Formulation</w:t>
            </w:r>
          </w:p>
        </w:tc>
        <w:tc>
          <w:tcPr>
            <w:tcW w:w="6678" w:type="dxa"/>
          </w:tcPr>
          <w:p w14:paraId="4FF8AB8F" w14:textId="77777777" w:rsidR="00394EF6" w:rsidRDefault="00394EF6" w:rsidP="00394EF6">
            <w:pPr>
              <w:pStyle w:val="ListParagraph"/>
              <w:numPr>
                <w:ilvl w:val="0"/>
                <w:numId w:val="7"/>
              </w:numPr>
              <w:ind w:left="342" w:hanging="342"/>
            </w:pPr>
            <w:r>
              <w:t>Trade-offs, value-added, efficiencies</w:t>
            </w:r>
          </w:p>
          <w:p w14:paraId="11DA61FF" w14:textId="77777777" w:rsidR="00394EF6" w:rsidRDefault="00394EF6" w:rsidP="00394EF6">
            <w:pPr>
              <w:pStyle w:val="ListParagraph"/>
              <w:numPr>
                <w:ilvl w:val="0"/>
                <w:numId w:val="7"/>
              </w:numPr>
              <w:ind w:left="342" w:hanging="342"/>
            </w:pPr>
            <w:r>
              <w:t>Creation of value vs. value capture</w:t>
            </w:r>
          </w:p>
          <w:p w14:paraId="01EE2D56" w14:textId="77777777" w:rsidR="00394EF6" w:rsidRDefault="00394EF6" w:rsidP="00394EF6">
            <w:pPr>
              <w:pStyle w:val="ListParagraph"/>
              <w:numPr>
                <w:ilvl w:val="0"/>
                <w:numId w:val="7"/>
              </w:numPr>
              <w:ind w:left="342" w:hanging="342"/>
            </w:pPr>
            <w:r>
              <w:t>Competing firms</w:t>
            </w:r>
          </w:p>
          <w:p w14:paraId="294DEA7A" w14:textId="77777777" w:rsidR="00394EF6" w:rsidRDefault="00394EF6" w:rsidP="00394EF6">
            <w:pPr>
              <w:pStyle w:val="ListParagraph"/>
              <w:numPr>
                <w:ilvl w:val="0"/>
                <w:numId w:val="7"/>
              </w:numPr>
              <w:ind w:left="342" w:hanging="342"/>
            </w:pPr>
            <w:r>
              <w:t>Co-</w:t>
            </w:r>
            <w:proofErr w:type="spellStart"/>
            <w:r>
              <w:t>optition</w:t>
            </w:r>
            <w:proofErr w:type="spellEnd"/>
            <w:r>
              <w:t xml:space="preserve"> and Complementors</w:t>
            </w:r>
          </w:p>
          <w:p w14:paraId="2D290092" w14:textId="77777777" w:rsidR="00394EF6" w:rsidRDefault="00394EF6" w:rsidP="00394EF6">
            <w:pPr>
              <w:pStyle w:val="ListParagraph"/>
              <w:numPr>
                <w:ilvl w:val="0"/>
                <w:numId w:val="7"/>
              </w:numPr>
              <w:ind w:left="342" w:hanging="342"/>
            </w:pPr>
            <w:r>
              <w:t>Strategic interaction analysis</w:t>
            </w:r>
          </w:p>
          <w:p w14:paraId="1907BF00" w14:textId="77777777" w:rsidR="00394EF6" w:rsidRDefault="00394EF6" w:rsidP="00394EF6">
            <w:pPr>
              <w:pStyle w:val="ListParagraph"/>
              <w:numPr>
                <w:ilvl w:val="0"/>
                <w:numId w:val="7"/>
              </w:numPr>
              <w:ind w:left="342" w:hanging="342"/>
            </w:pPr>
            <w:r>
              <w:t>Diversification and scope</w:t>
            </w:r>
          </w:p>
          <w:p w14:paraId="5937344C" w14:textId="77777777" w:rsidR="00394EF6" w:rsidRDefault="00394EF6" w:rsidP="00394EF6">
            <w:pPr>
              <w:pStyle w:val="ListParagraph"/>
              <w:numPr>
                <w:ilvl w:val="0"/>
                <w:numId w:val="7"/>
              </w:numPr>
              <w:ind w:left="342" w:hanging="342"/>
            </w:pPr>
            <w:r>
              <w:t>Ethics &amp; IBS</w:t>
            </w:r>
          </w:p>
          <w:p w14:paraId="35DE2485" w14:textId="77777777" w:rsidR="00394EF6" w:rsidRDefault="00394EF6" w:rsidP="00394EF6">
            <w:pPr>
              <w:pStyle w:val="ListParagraph"/>
              <w:numPr>
                <w:ilvl w:val="0"/>
                <w:numId w:val="7"/>
              </w:numPr>
              <w:ind w:left="342" w:hanging="342"/>
            </w:pPr>
            <w:r>
              <w:t>Behavioral and evidence-based strategy</w:t>
            </w:r>
          </w:p>
          <w:p w14:paraId="262BE526" w14:textId="77777777" w:rsidR="00394EF6" w:rsidRDefault="00394EF6" w:rsidP="00394EF6">
            <w:pPr>
              <w:pStyle w:val="ListParagraph"/>
              <w:numPr>
                <w:ilvl w:val="0"/>
                <w:numId w:val="7"/>
              </w:numPr>
              <w:ind w:left="342" w:hanging="342"/>
            </w:pPr>
            <w:r>
              <w:t>Management</w:t>
            </w:r>
          </w:p>
        </w:tc>
      </w:tr>
    </w:tbl>
    <w:p w14:paraId="022624C8" w14:textId="1CE2FC72" w:rsidR="00F67125" w:rsidRDefault="00573C56" w:rsidP="00D66535">
      <w:r>
        <w:t>Students will be expected to have mastered these concepts and be able to apply them in the course.</w:t>
      </w:r>
    </w:p>
    <w:p w14:paraId="5908B435" w14:textId="77777777" w:rsidR="00FE4368" w:rsidRPr="006575ED" w:rsidRDefault="00FE4368" w:rsidP="00FE4368">
      <w:pPr>
        <w:spacing w:after="0"/>
        <w:rPr>
          <w:b/>
        </w:rPr>
      </w:pPr>
      <w:r w:rsidRPr="006575ED">
        <w:rPr>
          <w:b/>
        </w:rPr>
        <w:lastRenderedPageBreak/>
        <w:t>CLASSROOM NORMS AND EXPECTATIONS</w:t>
      </w:r>
    </w:p>
    <w:p w14:paraId="3DF64B0B" w14:textId="77777777" w:rsidR="00FE4368" w:rsidRDefault="00FE4368" w:rsidP="00FE4368">
      <w:r w:rsidRPr="006575ED">
        <w:t>Students are expected to adhere to CBS</w:t>
      </w:r>
      <w:r>
        <w:t xml:space="preserve"> Core</w:t>
      </w:r>
      <w:r w:rsidRPr="006575ED">
        <w:t xml:space="preserve"> Culture in this class by being Present, Prepared, and Participating. </w:t>
      </w:r>
    </w:p>
    <w:p w14:paraId="461819BB" w14:textId="77777777" w:rsidR="00BA726F" w:rsidRPr="006575ED" w:rsidRDefault="00BA726F" w:rsidP="00FE4368"/>
    <w:p w14:paraId="1FBFC2B4" w14:textId="77777777" w:rsidR="00FE4368" w:rsidRPr="006575ED" w:rsidRDefault="00FE4368" w:rsidP="00FE4368">
      <w:pPr>
        <w:spacing w:after="0"/>
        <w:rPr>
          <w:b/>
        </w:rPr>
      </w:pPr>
      <w:r w:rsidRPr="006575ED">
        <w:rPr>
          <w:b/>
        </w:rPr>
        <w:t>ATTENDANCE POLICY</w:t>
      </w:r>
    </w:p>
    <w:p w14:paraId="478BCB72" w14:textId="569D2DDB" w:rsidR="00FE4368" w:rsidRDefault="00FE4368" w:rsidP="00FE4368">
      <w:r w:rsidRPr="006575ED">
        <w:t xml:space="preserve">Students are required to attend each class. </w:t>
      </w:r>
      <w:r w:rsidR="00BA726F">
        <w:t xml:space="preserve">Given class participation is a critical component of the course / grade, significant </w:t>
      </w:r>
      <w:r w:rsidRPr="006575ED">
        <w:t>absences will affect your course grade</w:t>
      </w:r>
      <w:r>
        <w:t>.</w:t>
      </w:r>
    </w:p>
    <w:p w14:paraId="335B0694" w14:textId="77777777" w:rsidR="00BA726F" w:rsidRDefault="00BA726F" w:rsidP="00FE4368"/>
    <w:p w14:paraId="0B3BACEA" w14:textId="77777777" w:rsidR="00BA726F" w:rsidRPr="006575ED" w:rsidRDefault="00BA726F" w:rsidP="00BA726F">
      <w:pPr>
        <w:spacing w:after="0"/>
        <w:rPr>
          <w:b/>
        </w:rPr>
      </w:pPr>
      <w:r w:rsidRPr="006575ED">
        <w:rPr>
          <w:b/>
        </w:rPr>
        <w:t xml:space="preserve">INCLUSION, ACCOMMODATIONS, AND SUPPORT FOR STUDENTS </w:t>
      </w:r>
    </w:p>
    <w:p w14:paraId="0B654F79" w14:textId="77777777" w:rsidR="00BA726F" w:rsidRPr="006575ED" w:rsidRDefault="00BA726F" w:rsidP="00BA726F">
      <w:r w:rsidRPr="006575ED">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w:t>
      </w:r>
    </w:p>
    <w:p w14:paraId="48A68CDA" w14:textId="77777777" w:rsidR="00BA726F" w:rsidRPr="006575ED" w:rsidRDefault="00BA726F" w:rsidP="00BA726F">
      <w:r w:rsidRPr="006575ED">
        <w:t xml:space="preserve">Columbia Business School will make reasonable accommodations for persons with documented disabilities.  Students are encouraged to contact the Columbia University’s Office of Disability Services for information about registration. Students seeking accommodation in the classroom may obtain information on the services offered by Columbia University’s Office of Disability Services online at </w:t>
      </w:r>
      <w:hyperlink r:id="rId13" w:history="1">
        <w:r w:rsidRPr="006575ED">
          <w:rPr>
            <w:rStyle w:val="Hyperlink"/>
          </w:rPr>
          <w:t>www.health.columbia.edu/docs/services/ods/index.html</w:t>
        </w:r>
      </w:hyperlink>
      <w:r w:rsidRPr="006575ED">
        <w:t xml:space="preserve"> or by contacting (212) 854-2388.</w:t>
      </w:r>
    </w:p>
    <w:p w14:paraId="3876745E" w14:textId="77777777" w:rsidR="00BA726F" w:rsidRPr="006575ED" w:rsidRDefault="00BA726F" w:rsidP="00BA726F">
      <w:pPr>
        <w:spacing w:after="0"/>
      </w:pPr>
      <w:r w:rsidRPr="006575ED">
        <w:t xml:space="preserve">Columbia Business School is committed to maintaining a safe environment for students, staff and faculty.  Because of this commitment and because of federal and state regulations, we must advise you that if you tell any of your instructors about sexual harassment or gender-based misconduct involving a member of the campus community, your instructor is required to report this information to a Title IX Coordinator.  They will treat this information as private, but will need to follow up with you and possibly look into the matter.  Counseling and Psychological Services, the Office of the University Chaplain, and the Ombuds Office for Gender-Based Misconduct are confidential resources available for students, staff and faculty. “Gender-based misconduct” includes sexual assault, stalking, sexual harassment, dating violence, domestic violence, sexual exploitation, and gender-based harassment.  For more information, see </w:t>
      </w:r>
      <w:hyperlink r:id="rId14" w:history="1">
        <w:r w:rsidRPr="006575ED">
          <w:rPr>
            <w:rStyle w:val="Hyperlink"/>
          </w:rPr>
          <w:t>http://sexualrespect.columbia.edu/gender-based-misconduct-policy-students</w:t>
        </w:r>
      </w:hyperlink>
      <w:r w:rsidRPr="006575ED">
        <w:t>.</w:t>
      </w:r>
    </w:p>
    <w:p w14:paraId="66F50F69" w14:textId="77777777" w:rsidR="00BA726F" w:rsidRDefault="00BA726F" w:rsidP="00FE4368"/>
    <w:sectPr w:rsidR="00BA726F"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2F37" w14:textId="77777777" w:rsidR="00D108F4" w:rsidRDefault="00D108F4" w:rsidP="00934BFC">
      <w:pPr>
        <w:spacing w:after="0" w:line="240" w:lineRule="auto"/>
      </w:pPr>
      <w:r>
        <w:separator/>
      </w:r>
    </w:p>
  </w:endnote>
  <w:endnote w:type="continuationSeparator" w:id="0">
    <w:p w14:paraId="1DDA7B69" w14:textId="77777777" w:rsidR="00D108F4" w:rsidRDefault="00D108F4"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557D" w14:textId="77777777" w:rsidR="001D2526" w:rsidRDefault="001D2526">
    <w:pPr>
      <w:pStyle w:val="Footer"/>
    </w:pPr>
    <w:r>
      <w:t xml:space="preserve">Page </w:t>
    </w:r>
    <w:r w:rsidR="00C7796A">
      <w:fldChar w:fldCharType="begin"/>
    </w:r>
    <w:r w:rsidR="00C7796A">
      <w:instrText xml:space="preserve"> PAGE  \* Arabic  \* MERGEFORMAT </w:instrText>
    </w:r>
    <w:r w:rsidR="00C7796A">
      <w:fldChar w:fldCharType="separate"/>
    </w:r>
    <w:r w:rsidR="00D05FE9" w:rsidRPr="00D05FE9">
      <w:rPr>
        <w:b/>
        <w:noProof/>
      </w:rPr>
      <w:t>4</w:t>
    </w:r>
    <w:r w:rsidR="00C7796A">
      <w:rPr>
        <w:b/>
        <w:noProof/>
      </w:rPr>
      <w:fldChar w:fldCharType="end"/>
    </w:r>
    <w:r>
      <w:t xml:space="preserve"> of </w:t>
    </w:r>
    <w:r w:rsidR="00315E6C">
      <w:rPr>
        <w:b/>
        <w:noProof/>
      </w:rPr>
      <w:fldChar w:fldCharType="begin"/>
    </w:r>
    <w:r w:rsidR="00315E6C">
      <w:rPr>
        <w:b/>
        <w:noProof/>
      </w:rPr>
      <w:instrText xml:space="preserve"> NUMPAGES  \* Arabic  \* MERGEFORMAT </w:instrText>
    </w:r>
    <w:r w:rsidR="00315E6C">
      <w:rPr>
        <w:b/>
        <w:noProof/>
      </w:rPr>
      <w:fldChar w:fldCharType="separate"/>
    </w:r>
    <w:r w:rsidR="00D05FE9">
      <w:rPr>
        <w:b/>
        <w:noProof/>
      </w:rPr>
      <w:t>4</w:t>
    </w:r>
    <w:r w:rsidR="00315E6C">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B39F" w14:textId="77777777" w:rsidR="00D108F4" w:rsidRDefault="00D108F4" w:rsidP="00934BFC">
      <w:pPr>
        <w:spacing w:after="0" w:line="240" w:lineRule="auto"/>
      </w:pPr>
      <w:r>
        <w:separator/>
      </w:r>
    </w:p>
  </w:footnote>
  <w:footnote w:type="continuationSeparator" w:id="0">
    <w:p w14:paraId="234735E8" w14:textId="77777777" w:rsidR="00D108F4" w:rsidRDefault="00D108F4" w:rsidP="00934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0898" w14:textId="77777777" w:rsidR="001D2526" w:rsidRDefault="001D2526" w:rsidP="00573C56">
    <w:pPr>
      <w:pStyle w:val="Header"/>
      <w:jc w:val="both"/>
    </w:pPr>
    <w:r>
      <w:rPr>
        <w:noProof/>
      </w:rPr>
      <w:ptab w:relativeTo="margin" w:alignment="left" w:leader="none"/>
    </w:r>
    <w:r>
      <w:rPr>
        <w:noProof/>
      </w:rPr>
      <w:drawing>
        <wp:inline distT="0" distB="0" distL="0" distR="0" wp14:anchorId="7D0D0222" wp14:editId="7717CBCF">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570DE1"/>
    <w:multiLevelType w:val="hybridMultilevel"/>
    <w:tmpl w:val="A3822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891DE6"/>
    <w:multiLevelType w:val="hybridMultilevel"/>
    <w:tmpl w:val="A8A08A8E"/>
    <w:lvl w:ilvl="0" w:tplc="3D40352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3D33"/>
    <w:multiLevelType w:val="hybridMultilevel"/>
    <w:tmpl w:val="BB5E8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411AD"/>
    <w:multiLevelType w:val="hybridMultilevel"/>
    <w:tmpl w:val="7932E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683789"/>
    <w:multiLevelType w:val="hybridMultilevel"/>
    <w:tmpl w:val="44561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6A18"/>
    <w:multiLevelType w:val="hybridMultilevel"/>
    <w:tmpl w:val="0B924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0D1A2C"/>
    <w:multiLevelType w:val="hybridMultilevel"/>
    <w:tmpl w:val="B9D6C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8"/>
  </w:num>
  <w:num w:numId="5">
    <w:abstractNumId w:val="6"/>
  </w:num>
  <w:num w:numId="6">
    <w:abstractNumId w:val="7"/>
  </w:num>
  <w:num w:numId="7">
    <w:abstractNumId w:val="9"/>
  </w:num>
  <w:num w:numId="8">
    <w:abstractNumId w:val="1"/>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934BFC"/>
    <w:rsid w:val="00047556"/>
    <w:rsid w:val="000F6A59"/>
    <w:rsid w:val="00101EAB"/>
    <w:rsid w:val="00103D9C"/>
    <w:rsid w:val="0015297F"/>
    <w:rsid w:val="00175BC3"/>
    <w:rsid w:val="0019054E"/>
    <w:rsid w:val="001C40AC"/>
    <w:rsid w:val="001D2526"/>
    <w:rsid w:val="001D55F6"/>
    <w:rsid w:val="001E34ED"/>
    <w:rsid w:val="002360AC"/>
    <w:rsid w:val="00273386"/>
    <w:rsid w:val="002A0DEC"/>
    <w:rsid w:val="002B1D3C"/>
    <w:rsid w:val="002D7F0A"/>
    <w:rsid w:val="002F3768"/>
    <w:rsid w:val="002F54E1"/>
    <w:rsid w:val="00315E6C"/>
    <w:rsid w:val="00332B48"/>
    <w:rsid w:val="003333E2"/>
    <w:rsid w:val="003901FC"/>
    <w:rsid w:val="00394EF6"/>
    <w:rsid w:val="003D2627"/>
    <w:rsid w:val="003F58F0"/>
    <w:rsid w:val="00473274"/>
    <w:rsid w:val="004A3DDA"/>
    <w:rsid w:val="004B295C"/>
    <w:rsid w:val="00510984"/>
    <w:rsid w:val="0053112F"/>
    <w:rsid w:val="00535F4E"/>
    <w:rsid w:val="00573C56"/>
    <w:rsid w:val="005A2276"/>
    <w:rsid w:val="005A6147"/>
    <w:rsid w:val="005B1791"/>
    <w:rsid w:val="005B3D52"/>
    <w:rsid w:val="005B4E7A"/>
    <w:rsid w:val="005B7F89"/>
    <w:rsid w:val="005D08DC"/>
    <w:rsid w:val="005D36E3"/>
    <w:rsid w:val="005E2E40"/>
    <w:rsid w:val="005E530F"/>
    <w:rsid w:val="005F34A4"/>
    <w:rsid w:val="00600A5C"/>
    <w:rsid w:val="00607128"/>
    <w:rsid w:val="0063563F"/>
    <w:rsid w:val="00635793"/>
    <w:rsid w:val="0069761F"/>
    <w:rsid w:val="006A49F4"/>
    <w:rsid w:val="006A4C53"/>
    <w:rsid w:val="006B0B94"/>
    <w:rsid w:val="006B10F4"/>
    <w:rsid w:val="006D2A82"/>
    <w:rsid w:val="00704311"/>
    <w:rsid w:val="00796BA8"/>
    <w:rsid w:val="00812388"/>
    <w:rsid w:val="008245D2"/>
    <w:rsid w:val="00885A04"/>
    <w:rsid w:val="008B2D09"/>
    <w:rsid w:val="008C46F9"/>
    <w:rsid w:val="00934BFC"/>
    <w:rsid w:val="009E75EE"/>
    <w:rsid w:val="00A14CE7"/>
    <w:rsid w:val="00A33418"/>
    <w:rsid w:val="00A33F9B"/>
    <w:rsid w:val="00A43621"/>
    <w:rsid w:val="00A4551C"/>
    <w:rsid w:val="00A46929"/>
    <w:rsid w:val="00A56849"/>
    <w:rsid w:val="00A96C07"/>
    <w:rsid w:val="00AB4AC0"/>
    <w:rsid w:val="00AC0197"/>
    <w:rsid w:val="00AF0275"/>
    <w:rsid w:val="00AF6E46"/>
    <w:rsid w:val="00BA726F"/>
    <w:rsid w:val="00BB249A"/>
    <w:rsid w:val="00BD3572"/>
    <w:rsid w:val="00BF25B1"/>
    <w:rsid w:val="00C1780B"/>
    <w:rsid w:val="00C46936"/>
    <w:rsid w:val="00C7796A"/>
    <w:rsid w:val="00CA6E95"/>
    <w:rsid w:val="00CA7F22"/>
    <w:rsid w:val="00CF3C10"/>
    <w:rsid w:val="00D02C0B"/>
    <w:rsid w:val="00D05FE9"/>
    <w:rsid w:val="00D108F4"/>
    <w:rsid w:val="00D31625"/>
    <w:rsid w:val="00D41947"/>
    <w:rsid w:val="00D5652B"/>
    <w:rsid w:val="00D66535"/>
    <w:rsid w:val="00D96365"/>
    <w:rsid w:val="00DA508B"/>
    <w:rsid w:val="00DB507F"/>
    <w:rsid w:val="00DD0F75"/>
    <w:rsid w:val="00E0798F"/>
    <w:rsid w:val="00E2684D"/>
    <w:rsid w:val="00EC6924"/>
    <w:rsid w:val="00F41428"/>
    <w:rsid w:val="00F50F22"/>
    <w:rsid w:val="00F67125"/>
    <w:rsid w:val="00FA6386"/>
    <w:rsid w:val="00FE43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72F5A28"/>
  <w15:docId w15:val="{865EF027-D300-4134-B05F-DFCF9741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5F34A4"/>
    <w:rPr>
      <w:color w:val="0000FF" w:themeColor="hyperlink"/>
      <w:u w:val="single"/>
    </w:rPr>
  </w:style>
  <w:style w:type="character" w:styleId="UnresolvedMention">
    <w:name w:val="Unresolved Mention"/>
    <w:basedOn w:val="DefaultParagraphFont"/>
    <w:uiPriority w:val="99"/>
    <w:semiHidden/>
    <w:unhideWhenUsed/>
    <w:rsid w:val="0060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327944296">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ealth.columbia.edu/docs/services/od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3178@gsb.columbi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3415@columbia.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uroop.duggal@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xualrespect.columbia.edu/gender-based-misconduct-policy-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5FF82-7C25-4EEE-89F6-33AD7967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Kimyagarov,  Julia</cp:lastModifiedBy>
  <cp:revision>2</cp:revision>
  <cp:lastPrinted>2019-08-14T16:14:00Z</cp:lastPrinted>
  <dcterms:created xsi:type="dcterms:W3CDTF">2022-07-14T14:14:00Z</dcterms:created>
  <dcterms:modified xsi:type="dcterms:W3CDTF">2022-07-14T14:14:00Z</dcterms:modified>
</cp:coreProperties>
</file>