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BB8BD" w14:textId="7F64081D" w:rsidR="00776559" w:rsidRPr="00271285" w:rsidRDefault="00CA352B" w:rsidP="001C7EA8">
      <w:pPr>
        <w:spacing w:after="0" w:line="240" w:lineRule="auto"/>
        <w:ind w:left="180"/>
        <w:jc w:val="center"/>
        <w:rPr>
          <w:rFonts w:ascii="Comic Sans MS" w:hAnsi="Comic Sans MS"/>
          <w:b/>
          <w:color w:val="000000"/>
          <w:sz w:val="28"/>
          <w:szCs w:val="28"/>
        </w:rPr>
      </w:pPr>
      <w:r>
        <w:rPr>
          <w:rFonts w:ascii="Comic Sans MS" w:hAnsi="Comic Sans MS"/>
          <w:b/>
          <w:color w:val="000000"/>
          <w:sz w:val="28"/>
          <w:szCs w:val="28"/>
        </w:rPr>
        <w:t>ESG Investing in Equity Markets</w:t>
      </w:r>
      <w:r w:rsidR="00D34FFE">
        <w:rPr>
          <w:rFonts w:ascii="Comic Sans MS" w:hAnsi="Comic Sans MS"/>
          <w:b/>
          <w:color w:val="000000"/>
          <w:sz w:val="28"/>
          <w:szCs w:val="28"/>
        </w:rPr>
        <w:t xml:space="preserve">             </w:t>
      </w:r>
    </w:p>
    <w:p w14:paraId="321ADBF7" w14:textId="27DB5F31" w:rsidR="00E915F4" w:rsidRPr="00757025" w:rsidRDefault="00CB0FB0" w:rsidP="0078416A">
      <w:pPr>
        <w:spacing w:after="0" w:line="240" w:lineRule="auto"/>
        <w:ind w:left="180"/>
        <w:jc w:val="center"/>
        <w:rPr>
          <w:rFonts w:ascii="Comic Sans MS" w:hAnsi="Comic Sans MS"/>
          <w:b/>
          <w:sz w:val="28"/>
          <w:szCs w:val="24"/>
        </w:rPr>
      </w:pPr>
      <w:r>
        <w:rPr>
          <w:rFonts w:ascii="Comic Sans MS" w:hAnsi="Comic Sans MS"/>
          <w:b/>
          <w:color w:val="000000"/>
          <w:sz w:val="28"/>
          <w:szCs w:val="28"/>
        </w:rPr>
        <w:t>=</w:t>
      </w:r>
      <w:r w:rsidR="001C7EA8">
        <w:rPr>
          <w:rFonts w:ascii="Comic Sans MS" w:hAnsi="Comic Sans MS"/>
          <w:b/>
          <w:color w:val="000000"/>
          <w:sz w:val="28"/>
          <w:szCs w:val="28"/>
        </w:rPr>
        <w:t xml:space="preserve"> </w:t>
      </w:r>
      <w:r w:rsidR="00126CEF">
        <w:rPr>
          <w:rFonts w:ascii="Comic Sans MS" w:hAnsi="Comic Sans MS"/>
          <w:b/>
          <w:color w:val="000000"/>
          <w:sz w:val="28"/>
          <w:szCs w:val="28"/>
        </w:rPr>
        <w:t>Fall</w:t>
      </w:r>
      <w:r w:rsidR="007B1B41">
        <w:rPr>
          <w:rFonts w:ascii="Comic Sans MS" w:hAnsi="Comic Sans MS"/>
          <w:b/>
          <w:color w:val="000000"/>
          <w:sz w:val="28"/>
          <w:szCs w:val="28"/>
        </w:rPr>
        <w:t xml:space="preserve"> 202</w:t>
      </w:r>
      <w:r w:rsidR="008E53E4">
        <w:rPr>
          <w:rFonts w:ascii="Comic Sans MS" w:hAnsi="Comic Sans MS"/>
          <w:b/>
          <w:color w:val="000000"/>
          <w:sz w:val="28"/>
          <w:szCs w:val="28"/>
        </w:rPr>
        <w:t>2</w:t>
      </w:r>
      <w:r>
        <w:rPr>
          <w:rFonts w:ascii="Comic Sans MS" w:hAnsi="Comic Sans MS"/>
          <w:b/>
          <w:color w:val="000000"/>
          <w:sz w:val="28"/>
          <w:szCs w:val="28"/>
        </w:rPr>
        <w:t xml:space="preserve"> =</w:t>
      </w:r>
    </w:p>
    <w:p w14:paraId="4B755A23" w14:textId="68C0EA2A" w:rsidR="00776559" w:rsidRPr="00596D26" w:rsidRDefault="007B1B41" w:rsidP="0078416A">
      <w:pPr>
        <w:spacing w:after="240" w:line="240" w:lineRule="auto"/>
        <w:ind w:left="180"/>
        <w:jc w:val="center"/>
        <w:rPr>
          <w:rFonts w:ascii="Comic Sans MS" w:hAnsi="Comic Sans MS"/>
          <w:b/>
          <w:color w:val="000000"/>
          <w:sz w:val="32"/>
          <w:szCs w:val="32"/>
        </w:rPr>
      </w:pPr>
      <w:r>
        <w:rPr>
          <w:rFonts w:ascii="Comic Sans MS" w:hAnsi="Comic Sans MS"/>
          <w:b/>
          <w:color w:val="000000"/>
          <w:sz w:val="32"/>
          <w:szCs w:val="32"/>
        </w:rPr>
        <w:t xml:space="preserve">Mondays &amp; Wednesdays, </w:t>
      </w:r>
      <w:r w:rsidR="00896687">
        <w:rPr>
          <w:rFonts w:ascii="Comic Sans MS" w:hAnsi="Comic Sans MS"/>
          <w:b/>
          <w:color w:val="000000"/>
          <w:sz w:val="32"/>
          <w:szCs w:val="32"/>
        </w:rPr>
        <w:t>3:50</w:t>
      </w:r>
      <w:r>
        <w:rPr>
          <w:rFonts w:ascii="Comic Sans MS" w:hAnsi="Comic Sans MS"/>
          <w:b/>
          <w:color w:val="000000"/>
          <w:sz w:val="32"/>
          <w:szCs w:val="32"/>
        </w:rPr>
        <w:t xml:space="preserve">pm to </w:t>
      </w:r>
      <w:r w:rsidR="00896687">
        <w:rPr>
          <w:rFonts w:ascii="Comic Sans MS" w:hAnsi="Comic Sans MS"/>
          <w:b/>
          <w:color w:val="000000"/>
          <w:sz w:val="32"/>
          <w:szCs w:val="32"/>
        </w:rPr>
        <w:t>5:20</w:t>
      </w:r>
      <w:r>
        <w:rPr>
          <w:rFonts w:ascii="Comic Sans MS" w:hAnsi="Comic Sans MS"/>
          <w:b/>
          <w:color w:val="000000"/>
          <w:sz w:val="32"/>
          <w:szCs w:val="32"/>
        </w:rPr>
        <w:t>pm</w:t>
      </w:r>
    </w:p>
    <w:p w14:paraId="636B26AF" w14:textId="4D982506" w:rsidR="00537E34" w:rsidRDefault="00537E34" w:rsidP="001C7EA8">
      <w:pPr>
        <w:spacing w:after="80"/>
        <w:rPr>
          <w:rFonts w:ascii="Comic Sans MS" w:hAnsi="Comic Sans MS"/>
          <w:b/>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475"/>
      </w:tblGrid>
      <w:tr w:rsidR="001C7EA8" w14:paraId="7AEBDF70" w14:textId="77777777" w:rsidTr="001C7EA8">
        <w:tc>
          <w:tcPr>
            <w:tcW w:w="9170" w:type="dxa"/>
            <w:gridSpan w:val="2"/>
          </w:tcPr>
          <w:p w14:paraId="22E65F89" w14:textId="06BFC0A3" w:rsidR="001C7EA8" w:rsidRDefault="001C7EA8" w:rsidP="0078416A">
            <w:pPr>
              <w:spacing w:after="80"/>
              <w:rPr>
                <w:rFonts w:ascii="Comic Sans MS" w:hAnsi="Comic Sans MS"/>
                <w:b/>
              </w:rPr>
            </w:pPr>
            <w:r w:rsidRPr="001F36A7">
              <w:rPr>
                <w:rFonts w:ascii="Comic Sans MS" w:hAnsi="Comic Sans MS"/>
                <w:b/>
                <w:color w:val="000000"/>
              </w:rPr>
              <w:t>PROFESSOR MARK ZURACK</w:t>
            </w:r>
          </w:p>
        </w:tc>
      </w:tr>
      <w:tr w:rsidR="001C7EA8" w14:paraId="7FA1C2AD" w14:textId="77777777" w:rsidTr="001C7EA8">
        <w:tc>
          <w:tcPr>
            <w:tcW w:w="2695" w:type="dxa"/>
          </w:tcPr>
          <w:p w14:paraId="45E7BAC5" w14:textId="47A7851F" w:rsidR="001C7EA8" w:rsidRDefault="001C7EA8" w:rsidP="0078416A">
            <w:pPr>
              <w:spacing w:after="80"/>
              <w:rPr>
                <w:rFonts w:ascii="Comic Sans MS" w:hAnsi="Comic Sans MS"/>
                <w:b/>
              </w:rPr>
            </w:pPr>
            <w:r w:rsidRPr="001F36A7">
              <w:rPr>
                <w:rFonts w:ascii="Comic Sans MS" w:hAnsi="Comic Sans MS"/>
                <w:b/>
              </w:rPr>
              <w:t>Office Location</w:t>
            </w:r>
            <w:r>
              <w:rPr>
                <w:rFonts w:ascii="Comic Sans MS" w:hAnsi="Comic Sans MS"/>
                <w:b/>
              </w:rPr>
              <w:t>:</w:t>
            </w:r>
          </w:p>
        </w:tc>
        <w:tc>
          <w:tcPr>
            <w:tcW w:w="6475" w:type="dxa"/>
          </w:tcPr>
          <w:p w14:paraId="65F4E929" w14:textId="02BE3310" w:rsidR="001C7EA8" w:rsidRDefault="008E53E4" w:rsidP="0078416A">
            <w:pPr>
              <w:spacing w:after="80"/>
              <w:rPr>
                <w:rFonts w:ascii="Comic Sans MS" w:hAnsi="Comic Sans MS"/>
                <w:b/>
              </w:rPr>
            </w:pPr>
            <w:r>
              <w:rPr>
                <w:rFonts w:ascii="Comic Sans MS" w:hAnsi="Comic Sans MS"/>
                <w:b/>
              </w:rPr>
              <w:t>782 Kravis Hall</w:t>
            </w:r>
          </w:p>
        </w:tc>
      </w:tr>
      <w:tr w:rsidR="001C7EA8" w14:paraId="325491F6" w14:textId="77777777" w:rsidTr="001C7EA8">
        <w:tc>
          <w:tcPr>
            <w:tcW w:w="2695" w:type="dxa"/>
          </w:tcPr>
          <w:p w14:paraId="7BB65F8E" w14:textId="00AACF35" w:rsidR="001C7EA8" w:rsidRDefault="001C7EA8" w:rsidP="0078416A">
            <w:pPr>
              <w:spacing w:after="80"/>
              <w:rPr>
                <w:rFonts w:ascii="Comic Sans MS" w:hAnsi="Comic Sans MS"/>
                <w:b/>
              </w:rPr>
            </w:pPr>
            <w:r w:rsidRPr="001F36A7">
              <w:rPr>
                <w:rFonts w:ascii="Comic Sans MS" w:hAnsi="Comic Sans MS"/>
                <w:b/>
              </w:rPr>
              <w:t>Office Phone</w:t>
            </w:r>
            <w:r>
              <w:rPr>
                <w:rFonts w:ascii="Comic Sans MS" w:hAnsi="Comic Sans MS"/>
                <w:b/>
              </w:rPr>
              <w:t>:</w:t>
            </w:r>
          </w:p>
        </w:tc>
        <w:tc>
          <w:tcPr>
            <w:tcW w:w="6475" w:type="dxa"/>
          </w:tcPr>
          <w:p w14:paraId="1E7CBC68" w14:textId="7A229AF5" w:rsidR="001C7EA8" w:rsidRDefault="00CC1007" w:rsidP="0078416A">
            <w:pPr>
              <w:spacing w:after="80"/>
              <w:rPr>
                <w:rFonts w:ascii="Comic Sans MS" w:hAnsi="Comic Sans MS"/>
                <w:b/>
              </w:rPr>
            </w:pPr>
            <w:r>
              <w:rPr>
                <w:rFonts w:ascii="Comic Sans MS" w:hAnsi="Comic Sans MS"/>
                <w:b/>
              </w:rPr>
              <w:t>917-232-4026</w:t>
            </w:r>
          </w:p>
        </w:tc>
      </w:tr>
      <w:tr w:rsidR="001C7EA8" w14:paraId="72B7ED0A" w14:textId="77777777" w:rsidTr="001C7EA8">
        <w:tc>
          <w:tcPr>
            <w:tcW w:w="2695" w:type="dxa"/>
          </w:tcPr>
          <w:p w14:paraId="71705C56" w14:textId="16053168" w:rsidR="001C7EA8" w:rsidRDefault="001C7EA8" w:rsidP="0078416A">
            <w:pPr>
              <w:spacing w:after="80"/>
              <w:rPr>
                <w:rFonts w:ascii="Comic Sans MS" w:hAnsi="Comic Sans MS"/>
                <w:b/>
              </w:rPr>
            </w:pPr>
          </w:p>
        </w:tc>
        <w:tc>
          <w:tcPr>
            <w:tcW w:w="6475" w:type="dxa"/>
          </w:tcPr>
          <w:p w14:paraId="7E934480" w14:textId="334C50A9" w:rsidR="001C7EA8" w:rsidRDefault="001C7EA8" w:rsidP="0078416A">
            <w:pPr>
              <w:spacing w:after="80"/>
              <w:rPr>
                <w:rFonts w:ascii="Comic Sans MS" w:hAnsi="Comic Sans MS"/>
                <w:b/>
              </w:rPr>
            </w:pPr>
          </w:p>
        </w:tc>
      </w:tr>
      <w:tr w:rsidR="001C7EA8" w14:paraId="3CA9CEDC" w14:textId="77777777" w:rsidTr="001C7EA8">
        <w:tc>
          <w:tcPr>
            <w:tcW w:w="2695" w:type="dxa"/>
          </w:tcPr>
          <w:p w14:paraId="150D934B" w14:textId="33DBC8AC" w:rsidR="001C7EA8" w:rsidRDefault="001C7EA8" w:rsidP="0078416A">
            <w:pPr>
              <w:spacing w:after="80"/>
              <w:rPr>
                <w:rFonts w:ascii="Comic Sans MS" w:hAnsi="Comic Sans MS"/>
                <w:b/>
              </w:rPr>
            </w:pPr>
            <w:r w:rsidRPr="001F36A7">
              <w:rPr>
                <w:rFonts w:ascii="Comic Sans MS" w:hAnsi="Comic Sans MS"/>
                <w:b/>
              </w:rPr>
              <w:t>E-mail</w:t>
            </w:r>
            <w:r>
              <w:rPr>
                <w:rFonts w:ascii="Comic Sans MS" w:hAnsi="Comic Sans MS"/>
                <w:b/>
              </w:rPr>
              <w:t>:</w:t>
            </w:r>
          </w:p>
        </w:tc>
        <w:tc>
          <w:tcPr>
            <w:tcW w:w="6475" w:type="dxa"/>
          </w:tcPr>
          <w:p w14:paraId="44D8650F" w14:textId="52A768D0" w:rsidR="001C7EA8" w:rsidRDefault="001114E9" w:rsidP="0078416A">
            <w:pPr>
              <w:spacing w:after="80"/>
              <w:rPr>
                <w:rFonts w:ascii="Comic Sans MS" w:hAnsi="Comic Sans MS"/>
                <w:b/>
              </w:rPr>
            </w:pPr>
            <w:hyperlink r:id="rId8" w:history="1">
              <w:r w:rsidR="001C7EA8" w:rsidRPr="00135DBD">
                <w:rPr>
                  <w:rStyle w:val="Hyperlink"/>
                  <w:rFonts w:ascii="Comic Sans MS" w:hAnsi="Comic Sans MS"/>
                </w:rPr>
                <w:t>mz2015@gsb.columbia.edu</w:t>
              </w:r>
            </w:hyperlink>
          </w:p>
        </w:tc>
      </w:tr>
      <w:tr w:rsidR="001C7EA8" w14:paraId="27B51B6B" w14:textId="77777777" w:rsidTr="001C7EA8">
        <w:tc>
          <w:tcPr>
            <w:tcW w:w="2695" w:type="dxa"/>
          </w:tcPr>
          <w:p w14:paraId="5971A2AA" w14:textId="4E0D0B52" w:rsidR="001C7EA8" w:rsidRDefault="001C7EA8" w:rsidP="0078416A">
            <w:pPr>
              <w:spacing w:after="80"/>
              <w:rPr>
                <w:rFonts w:ascii="Comic Sans MS" w:hAnsi="Comic Sans MS"/>
                <w:b/>
              </w:rPr>
            </w:pPr>
            <w:r w:rsidRPr="001F36A7">
              <w:rPr>
                <w:rFonts w:ascii="Comic Sans MS" w:hAnsi="Comic Sans MS"/>
                <w:b/>
              </w:rPr>
              <w:t>Office Hours:</w:t>
            </w:r>
          </w:p>
        </w:tc>
        <w:tc>
          <w:tcPr>
            <w:tcW w:w="6475" w:type="dxa"/>
          </w:tcPr>
          <w:p w14:paraId="777A3E4E" w14:textId="1083B576" w:rsidR="001C7EA8" w:rsidRDefault="001C7EA8" w:rsidP="0078416A">
            <w:pPr>
              <w:spacing w:after="80"/>
              <w:rPr>
                <w:rFonts w:ascii="Comic Sans MS" w:hAnsi="Comic Sans MS"/>
                <w:b/>
              </w:rPr>
            </w:pPr>
            <w:r>
              <w:rPr>
                <w:rFonts w:ascii="Comic Sans MS" w:hAnsi="Comic Sans MS"/>
              </w:rPr>
              <w:t>(</w:t>
            </w:r>
            <w:r w:rsidR="00527D17">
              <w:rPr>
                <w:rFonts w:ascii="Comic Sans MS" w:hAnsi="Comic Sans MS"/>
                <w:color w:val="000000"/>
              </w:rPr>
              <w:t>Email</w:t>
            </w:r>
            <w:r>
              <w:rPr>
                <w:rFonts w:ascii="Comic Sans MS" w:hAnsi="Comic Sans MS"/>
                <w:color w:val="000000"/>
              </w:rPr>
              <w:t xml:space="preserve"> me to schedule an appointment)</w:t>
            </w:r>
          </w:p>
        </w:tc>
      </w:tr>
      <w:tr w:rsidR="001C7EA8" w14:paraId="7B1673E3" w14:textId="77777777" w:rsidTr="001C7EA8">
        <w:tc>
          <w:tcPr>
            <w:tcW w:w="2695" w:type="dxa"/>
          </w:tcPr>
          <w:p w14:paraId="7C78A015" w14:textId="30EA397B" w:rsidR="001C7EA8" w:rsidRPr="001F36A7" w:rsidRDefault="001C7EA8" w:rsidP="0078416A">
            <w:pPr>
              <w:spacing w:after="80"/>
              <w:rPr>
                <w:rFonts w:ascii="Comic Sans MS" w:hAnsi="Comic Sans MS"/>
                <w:b/>
              </w:rPr>
            </w:pPr>
            <w:r>
              <w:rPr>
                <w:rFonts w:ascii="Comic Sans MS" w:hAnsi="Comic Sans MS"/>
                <w:b/>
              </w:rPr>
              <w:t>COURSE</w:t>
            </w:r>
            <w:r w:rsidRPr="001F36A7">
              <w:rPr>
                <w:rFonts w:ascii="Comic Sans MS" w:hAnsi="Comic Sans MS"/>
                <w:b/>
              </w:rPr>
              <w:t xml:space="preserve"> ASSISTANT</w:t>
            </w:r>
          </w:p>
        </w:tc>
        <w:tc>
          <w:tcPr>
            <w:tcW w:w="6475" w:type="dxa"/>
          </w:tcPr>
          <w:p w14:paraId="3AA22FF4" w14:textId="23D81453" w:rsidR="001C7EA8" w:rsidRDefault="00021793" w:rsidP="0078416A">
            <w:pPr>
              <w:spacing w:after="80"/>
              <w:rPr>
                <w:rFonts w:ascii="Comic Sans MS" w:hAnsi="Comic Sans MS"/>
                <w:b/>
              </w:rPr>
            </w:pPr>
            <w:r>
              <w:rPr>
                <w:rFonts w:ascii="Comic Sans MS" w:hAnsi="Comic Sans MS"/>
                <w:b/>
              </w:rPr>
              <w:t xml:space="preserve"> </w:t>
            </w:r>
          </w:p>
        </w:tc>
      </w:tr>
    </w:tbl>
    <w:p w14:paraId="60D12793" w14:textId="52E82EC8" w:rsidR="001C7EA8" w:rsidRDefault="001C7EA8" w:rsidP="0078416A">
      <w:pPr>
        <w:spacing w:after="80"/>
        <w:ind w:left="180"/>
        <w:rPr>
          <w:rFonts w:ascii="Comic Sans MS" w:hAnsi="Comic Sans MS"/>
          <w:b/>
        </w:rPr>
      </w:pPr>
    </w:p>
    <w:p w14:paraId="20B7EC35" w14:textId="77777777" w:rsidR="00537E34" w:rsidRPr="00FF5897" w:rsidRDefault="00537E34" w:rsidP="00FF5897">
      <w:pPr>
        <w:spacing w:after="60" w:line="240" w:lineRule="auto"/>
        <w:ind w:left="180" w:right="360"/>
        <w:rPr>
          <w:rFonts w:ascii="Comic Sans MS" w:hAnsi="Comic Sans MS"/>
          <w:b/>
          <w:bCs/>
        </w:rPr>
      </w:pPr>
      <w:r w:rsidRPr="00FF5897">
        <w:rPr>
          <w:rFonts w:ascii="Comic Sans MS" w:hAnsi="Comic Sans MS"/>
          <w:b/>
          <w:bCs/>
        </w:rPr>
        <w:t>REQUIRED COURSE MATERIAL</w:t>
      </w:r>
    </w:p>
    <w:p w14:paraId="4AED5E8E" w14:textId="7738D0B9" w:rsidR="00537E34" w:rsidRPr="00F1473D" w:rsidRDefault="00B457BF" w:rsidP="001C7EA8">
      <w:pPr>
        <w:spacing w:after="60" w:line="240" w:lineRule="auto"/>
        <w:ind w:left="180" w:right="360"/>
        <w:rPr>
          <w:rFonts w:ascii="Comic Sans MS" w:hAnsi="Comic Sans MS"/>
        </w:rPr>
      </w:pPr>
      <w:r>
        <w:rPr>
          <w:rFonts w:ascii="Comic Sans MS" w:hAnsi="Comic Sans MS"/>
        </w:rPr>
        <w:t>All readings and</w:t>
      </w:r>
      <w:r w:rsidR="00537E34" w:rsidRPr="00F1473D">
        <w:rPr>
          <w:rFonts w:ascii="Comic Sans MS" w:hAnsi="Comic Sans MS"/>
        </w:rPr>
        <w:t xml:space="preserve"> cases can be accessed by control/clicking on the syllabus</w:t>
      </w:r>
      <w:r>
        <w:rPr>
          <w:rFonts w:ascii="Comic Sans MS" w:hAnsi="Comic Sans MS"/>
        </w:rPr>
        <w:t xml:space="preserve">.  Most supplemental readings will be accessible through </w:t>
      </w:r>
      <w:proofErr w:type="spellStart"/>
      <w:r>
        <w:rPr>
          <w:rFonts w:ascii="Comic Sans MS" w:hAnsi="Comic Sans MS"/>
        </w:rPr>
        <w:t>Yellowdig</w:t>
      </w:r>
      <w:proofErr w:type="spellEnd"/>
      <w:r>
        <w:rPr>
          <w:rFonts w:ascii="Comic Sans MS" w:hAnsi="Comic Sans MS"/>
        </w:rPr>
        <w:t>.</w:t>
      </w:r>
    </w:p>
    <w:p w14:paraId="0F515B5C" w14:textId="77777777" w:rsidR="004E7F25" w:rsidRPr="00F1473D" w:rsidRDefault="004E7F25" w:rsidP="001C7EA8">
      <w:pPr>
        <w:spacing w:after="60" w:line="240" w:lineRule="auto"/>
        <w:ind w:left="180" w:right="360"/>
        <w:rPr>
          <w:rFonts w:ascii="Comic Sans MS" w:hAnsi="Comic Sans MS"/>
        </w:rPr>
      </w:pPr>
    </w:p>
    <w:p w14:paraId="3F2A8FDF" w14:textId="77777777" w:rsidR="00537E34" w:rsidRPr="00F1473D" w:rsidRDefault="00537E34" w:rsidP="001C7EA8">
      <w:pPr>
        <w:spacing w:after="60" w:line="240" w:lineRule="auto"/>
        <w:ind w:left="180" w:right="360"/>
        <w:rPr>
          <w:rFonts w:ascii="Comic Sans MS" w:hAnsi="Comic Sans MS"/>
          <w:b/>
        </w:rPr>
      </w:pPr>
      <w:r w:rsidRPr="00F1473D">
        <w:rPr>
          <w:rFonts w:ascii="Comic Sans MS" w:hAnsi="Comic Sans MS"/>
          <w:b/>
        </w:rPr>
        <w:t xml:space="preserve">REQUIRED PREREQUISITES: CAPITAL MARKETS AND INVESTMENTS </w:t>
      </w:r>
    </w:p>
    <w:p w14:paraId="5EDE215F" w14:textId="77777777" w:rsidR="00537E34" w:rsidRPr="00F1473D" w:rsidRDefault="00537E34" w:rsidP="001C7EA8">
      <w:pPr>
        <w:spacing w:after="60" w:line="240" w:lineRule="auto"/>
        <w:ind w:left="180" w:right="360"/>
        <w:rPr>
          <w:rFonts w:ascii="Comic Sans MS" w:hAnsi="Comic Sans MS"/>
          <w:b/>
        </w:rPr>
      </w:pPr>
      <w:r w:rsidRPr="00F1473D">
        <w:rPr>
          <w:rFonts w:ascii="Comic Sans MS" w:hAnsi="Comic Sans MS"/>
          <w:b/>
        </w:rPr>
        <w:br/>
        <w:t>CONNECTION WITH THE CORE</w:t>
      </w:r>
    </w:p>
    <w:p w14:paraId="0AB31EAB" w14:textId="7677993E" w:rsidR="00A06F6D" w:rsidRDefault="00537E34" w:rsidP="001C7EA8">
      <w:pPr>
        <w:spacing w:after="80" w:line="240" w:lineRule="auto"/>
        <w:ind w:left="180" w:right="360"/>
        <w:rPr>
          <w:rFonts w:ascii="Comic Sans MS" w:hAnsi="Comic Sans MS"/>
        </w:rPr>
      </w:pPr>
      <w:r w:rsidRPr="00F1473D">
        <w:rPr>
          <w:rFonts w:ascii="Comic Sans MS" w:hAnsi="Comic Sans MS"/>
        </w:rPr>
        <w:t xml:space="preserve">This course builds on knowledge from the Capital Markets and Statistics courses (B8306).   Specifically, statistical techniques are used to evaluate portfolio risk and return.  In addition, concepts introduced in Capital Markets like Beta, the Capital Asset Pricing Model, Sharpe Ratios, and Active and Passive Management are used in ESG investing and </w:t>
      </w:r>
      <w:r w:rsidR="00B1405A">
        <w:rPr>
          <w:rFonts w:ascii="Comic Sans MS" w:hAnsi="Comic Sans MS"/>
        </w:rPr>
        <w:t xml:space="preserve">periodically </w:t>
      </w:r>
      <w:r w:rsidRPr="00F1473D">
        <w:rPr>
          <w:rFonts w:ascii="Comic Sans MS" w:hAnsi="Comic Sans MS"/>
        </w:rPr>
        <w:t>referenced</w:t>
      </w:r>
      <w:r w:rsidR="00B457BF">
        <w:rPr>
          <w:rFonts w:ascii="Comic Sans MS" w:hAnsi="Comic Sans MS"/>
        </w:rPr>
        <w:t>.</w:t>
      </w:r>
    </w:p>
    <w:p w14:paraId="14AC41D8" w14:textId="77777777" w:rsidR="00030C47" w:rsidRPr="00F1473D" w:rsidRDefault="00030C47" w:rsidP="001C7EA8">
      <w:pPr>
        <w:spacing w:after="80" w:line="240" w:lineRule="auto"/>
        <w:ind w:left="180" w:right="360"/>
        <w:rPr>
          <w:rFonts w:ascii="Comic Sans MS" w:hAnsi="Comic Sans MS"/>
        </w:rPr>
      </w:pPr>
    </w:p>
    <w:p w14:paraId="2F66A608" w14:textId="77777777" w:rsidR="00906D9A" w:rsidRPr="00F1473D" w:rsidRDefault="00906D9A" w:rsidP="001C7EA8">
      <w:pPr>
        <w:ind w:left="180" w:right="360"/>
      </w:pPr>
      <w:r w:rsidRPr="00F1473D">
        <w:rPr>
          <w:rFonts w:ascii="Comic Sans MS" w:hAnsi="Comic Sans MS"/>
          <w:b/>
        </w:rPr>
        <w:t>COURSE DESCRIPTION AND OBJECTIVES</w:t>
      </w:r>
    </w:p>
    <w:p w14:paraId="0FFC3AFB" w14:textId="70133025" w:rsidR="004F0692" w:rsidRPr="00F1473D" w:rsidRDefault="00893319" w:rsidP="0078416A">
      <w:pPr>
        <w:spacing w:after="120" w:line="240" w:lineRule="auto"/>
        <w:ind w:left="180" w:right="360"/>
        <w:rPr>
          <w:rFonts w:ascii="Comic Sans MS" w:hAnsi="Comic Sans MS"/>
        </w:rPr>
      </w:pPr>
      <w:r w:rsidRPr="00F1473D">
        <w:rPr>
          <w:rFonts w:ascii="Comic Sans MS" w:hAnsi="Comic Sans MS"/>
        </w:rPr>
        <w:t>As you</w:t>
      </w:r>
      <w:r w:rsidR="00BA0855" w:rsidRPr="00F1473D">
        <w:rPr>
          <w:rFonts w:ascii="Comic Sans MS" w:hAnsi="Comic Sans MS"/>
        </w:rPr>
        <w:t xml:space="preserve"> </w:t>
      </w:r>
      <w:r w:rsidR="00963E31" w:rsidRPr="00F1473D">
        <w:rPr>
          <w:rFonts w:ascii="Comic Sans MS" w:hAnsi="Comic Sans MS"/>
        </w:rPr>
        <w:t>probably</w:t>
      </w:r>
      <w:r w:rsidRPr="00F1473D">
        <w:rPr>
          <w:rFonts w:ascii="Comic Sans MS" w:hAnsi="Comic Sans MS"/>
        </w:rPr>
        <w:t xml:space="preserve"> </w:t>
      </w:r>
      <w:r w:rsidR="00BA0855" w:rsidRPr="00F1473D">
        <w:rPr>
          <w:rFonts w:ascii="Comic Sans MS" w:hAnsi="Comic Sans MS"/>
        </w:rPr>
        <w:t>know</w:t>
      </w:r>
      <w:r w:rsidRPr="00F1473D">
        <w:rPr>
          <w:rFonts w:ascii="Comic Sans MS" w:hAnsi="Comic Sans MS"/>
        </w:rPr>
        <w:t xml:space="preserve">, more and more </w:t>
      </w:r>
      <w:r w:rsidR="00021793">
        <w:rPr>
          <w:rFonts w:ascii="Comic Sans MS" w:hAnsi="Comic Sans MS"/>
        </w:rPr>
        <w:t>Asset Managers</w:t>
      </w:r>
      <w:r w:rsidRPr="00F1473D">
        <w:rPr>
          <w:rFonts w:ascii="Comic Sans MS" w:hAnsi="Comic Sans MS"/>
        </w:rPr>
        <w:t xml:space="preserve"> are </w:t>
      </w:r>
      <w:r w:rsidR="00225D27" w:rsidRPr="00F1473D">
        <w:rPr>
          <w:rFonts w:ascii="Comic Sans MS" w:hAnsi="Comic Sans MS"/>
        </w:rPr>
        <w:t>re-</w:t>
      </w:r>
      <w:r w:rsidRPr="00F1473D">
        <w:rPr>
          <w:rFonts w:ascii="Comic Sans MS" w:hAnsi="Comic Sans MS"/>
        </w:rPr>
        <w:t>evaluating their Investment Guidelines</w:t>
      </w:r>
      <w:r w:rsidR="00963E31" w:rsidRPr="00F1473D">
        <w:rPr>
          <w:rFonts w:ascii="Comic Sans MS" w:hAnsi="Comic Sans MS"/>
        </w:rPr>
        <w:t xml:space="preserve"> </w:t>
      </w:r>
      <w:r w:rsidRPr="00F1473D">
        <w:rPr>
          <w:rFonts w:ascii="Comic Sans MS" w:hAnsi="Comic Sans MS"/>
        </w:rPr>
        <w:t>t</w:t>
      </w:r>
      <w:r w:rsidR="00963E31" w:rsidRPr="00F1473D">
        <w:rPr>
          <w:rFonts w:ascii="Comic Sans MS" w:hAnsi="Comic Sans MS"/>
        </w:rPr>
        <w:t>o</w:t>
      </w:r>
      <w:r w:rsidRPr="00F1473D">
        <w:rPr>
          <w:rFonts w:ascii="Comic Sans MS" w:hAnsi="Comic Sans MS"/>
        </w:rPr>
        <w:t xml:space="preserve"> </w:t>
      </w:r>
      <w:r w:rsidR="001B4ABD" w:rsidRPr="00F1473D">
        <w:rPr>
          <w:rFonts w:ascii="Comic Sans MS" w:hAnsi="Comic Sans MS"/>
        </w:rPr>
        <w:t>consider</w:t>
      </w:r>
      <w:r w:rsidRPr="00F1473D">
        <w:rPr>
          <w:rFonts w:ascii="Comic Sans MS" w:hAnsi="Comic Sans MS"/>
        </w:rPr>
        <w:t xml:space="preserve"> Environmental</w:t>
      </w:r>
      <w:r w:rsidR="00BA0855" w:rsidRPr="00F1473D">
        <w:rPr>
          <w:rFonts w:ascii="Comic Sans MS" w:hAnsi="Comic Sans MS"/>
        </w:rPr>
        <w:t>,</w:t>
      </w:r>
      <w:r w:rsidRPr="00F1473D">
        <w:rPr>
          <w:rFonts w:ascii="Comic Sans MS" w:hAnsi="Comic Sans MS"/>
        </w:rPr>
        <w:t xml:space="preserve"> Social and Governance </w:t>
      </w:r>
      <w:r w:rsidR="001B4ABD">
        <w:rPr>
          <w:rFonts w:ascii="Comic Sans MS" w:hAnsi="Comic Sans MS"/>
        </w:rPr>
        <w:t>factors</w:t>
      </w:r>
      <w:r w:rsidRPr="00F1473D">
        <w:rPr>
          <w:rFonts w:ascii="Comic Sans MS" w:hAnsi="Comic Sans MS"/>
        </w:rPr>
        <w:t>.</w:t>
      </w:r>
    </w:p>
    <w:p w14:paraId="5A6F59E4" w14:textId="77777777" w:rsidR="00893319" w:rsidRPr="00F1473D" w:rsidRDefault="00893319" w:rsidP="0078416A">
      <w:pPr>
        <w:spacing w:after="120" w:line="240" w:lineRule="auto"/>
        <w:ind w:left="180" w:right="360"/>
        <w:rPr>
          <w:rFonts w:ascii="Comic Sans MS" w:hAnsi="Comic Sans MS"/>
        </w:rPr>
      </w:pPr>
      <w:r w:rsidRPr="00F1473D">
        <w:rPr>
          <w:rFonts w:ascii="Comic Sans MS" w:hAnsi="Comic Sans MS"/>
        </w:rPr>
        <w:t xml:space="preserve">This process raises a series of interesting </w:t>
      </w:r>
      <w:r w:rsidR="00E32F2A">
        <w:rPr>
          <w:rFonts w:ascii="Comic Sans MS" w:hAnsi="Comic Sans MS"/>
        </w:rPr>
        <w:t>questions:</w:t>
      </w:r>
    </w:p>
    <w:p w14:paraId="7CD86E32" w14:textId="77777777" w:rsidR="00893319" w:rsidRPr="00E32F2A" w:rsidRDefault="00893319" w:rsidP="00F76460">
      <w:pPr>
        <w:pStyle w:val="ListParagraph"/>
        <w:numPr>
          <w:ilvl w:val="0"/>
          <w:numId w:val="13"/>
        </w:numPr>
        <w:spacing w:after="120" w:line="240" w:lineRule="auto"/>
        <w:ind w:right="360"/>
        <w:rPr>
          <w:rFonts w:ascii="Comic Sans MS" w:hAnsi="Comic Sans MS"/>
        </w:rPr>
      </w:pPr>
      <w:r w:rsidRPr="00F1473D">
        <w:rPr>
          <w:rFonts w:ascii="Comic Sans MS" w:hAnsi="Comic Sans MS"/>
        </w:rPr>
        <w:t xml:space="preserve">How </w:t>
      </w:r>
      <w:r w:rsidR="00BA0855" w:rsidRPr="00F1473D">
        <w:rPr>
          <w:rFonts w:ascii="Comic Sans MS" w:hAnsi="Comic Sans MS"/>
        </w:rPr>
        <w:t xml:space="preserve">specifically is </w:t>
      </w:r>
      <w:r w:rsidRPr="00F1473D">
        <w:rPr>
          <w:rFonts w:ascii="Comic Sans MS" w:hAnsi="Comic Sans MS"/>
        </w:rPr>
        <w:t xml:space="preserve">a company </w:t>
      </w:r>
      <w:r w:rsidR="004429D0" w:rsidRPr="00F1473D">
        <w:rPr>
          <w:rFonts w:ascii="Comic Sans MS" w:hAnsi="Comic Sans MS"/>
        </w:rPr>
        <w:t xml:space="preserve">rated </w:t>
      </w:r>
      <w:r w:rsidRPr="00F1473D">
        <w:rPr>
          <w:rFonts w:ascii="Comic Sans MS" w:hAnsi="Comic Sans MS"/>
        </w:rPr>
        <w:t xml:space="preserve">on ESG guidelines? </w:t>
      </w:r>
      <w:r w:rsidR="00E32F2A">
        <w:rPr>
          <w:rFonts w:ascii="Comic Sans MS" w:hAnsi="Comic Sans MS"/>
        </w:rPr>
        <w:t xml:space="preserve"> Is there subjectivity in the process?</w:t>
      </w:r>
    </w:p>
    <w:p w14:paraId="1608635C" w14:textId="77777777" w:rsidR="001B4E14" w:rsidRPr="00F1473D" w:rsidRDefault="004429D0" w:rsidP="00F76460">
      <w:pPr>
        <w:pStyle w:val="ListParagraph"/>
        <w:numPr>
          <w:ilvl w:val="0"/>
          <w:numId w:val="13"/>
        </w:numPr>
        <w:spacing w:after="120" w:line="240" w:lineRule="auto"/>
        <w:ind w:right="360"/>
        <w:rPr>
          <w:rFonts w:ascii="Comic Sans MS" w:hAnsi="Comic Sans MS"/>
        </w:rPr>
      </w:pPr>
      <w:r w:rsidRPr="00F1473D">
        <w:rPr>
          <w:rFonts w:ascii="Comic Sans MS" w:hAnsi="Comic Sans MS"/>
        </w:rPr>
        <w:t>Does consideration of</w:t>
      </w:r>
      <w:r w:rsidR="00843964" w:rsidRPr="00F1473D">
        <w:rPr>
          <w:rFonts w:ascii="Comic Sans MS" w:hAnsi="Comic Sans MS"/>
        </w:rPr>
        <w:t xml:space="preserve"> ESG factors </w:t>
      </w:r>
      <w:r w:rsidRPr="00F1473D">
        <w:rPr>
          <w:rFonts w:ascii="Comic Sans MS" w:hAnsi="Comic Sans MS"/>
        </w:rPr>
        <w:t>improve</w:t>
      </w:r>
      <w:r w:rsidR="00843964" w:rsidRPr="00F1473D">
        <w:rPr>
          <w:rFonts w:ascii="Comic Sans MS" w:hAnsi="Comic Sans MS"/>
        </w:rPr>
        <w:t xml:space="preserve"> investment p</w:t>
      </w:r>
      <w:r w:rsidRPr="00F1473D">
        <w:rPr>
          <w:rFonts w:ascii="Comic Sans MS" w:hAnsi="Comic Sans MS"/>
        </w:rPr>
        <w:t>erformance</w:t>
      </w:r>
      <w:r w:rsidR="00843964" w:rsidRPr="00F1473D">
        <w:rPr>
          <w:rFonts w:ascii="Comic Sans MS" w:hAnsi="Comic Sans MS"/>
        </w:rPr>
        <w:t xml:space="preserve">?  </w:t>
      </w:r>
    </w:p>
    <w:p w14:paraId="5AD8892D" w14:textId="7DF186DE" w:rsidR="00E32F2A" w:rsidRPr="00E32F2A" w:rsidRDefault="00021793" w:rsidP="00F76460">
      <w:pPr>
        <w:pStyle w:val="ListParagraph"/>
        <w:numPr>
          <w:ilvl w:val="0"/>
          <w:numId w:val="13"/>
        </w:numPr>
        <w:spacing w:after="120" w:line="240" w:lineRule="auto"/>
        <w:ind w:right="360"/>
        <w:rPr>
          <w:rFonts w:ascii="Comic Sans MS" w:hAnsi="Comic Sans MS"/>
        </w:rPr>
      </w:pPr>
      <w:r>
        <w:rPr>
          <w:rFonts w:ascii="Comic Sans MS" w:hAnsi="Comic Sans MS"/>
        </w:rPr>
        <w:t xml:space="preserve">For </w:t>
      </w:r>
      <w:r w:rsidR="00843964" w:rsidRPr="00F1473D">
        <w:rPr>
          <w:rFonts w:ascii="Comic Sans MS" w:hAnsi="Comic Sans MS"/>
        </w:rPr>
        <w:t xml:space="preserve">investors </w:t>
      </w:r>
      <w:r>
        <w:rPr>
          <w:rFonts w:ascii="Comic Sans MS" w:hAnsi="Comic Sans MS"/>
        </w:rPr>
        <w:t xml:space="preserve">who </w:t>
      </w:r>
      <w:r w:rsidR="00F06062">
        <w:rPr>
          <w:rFonts w:ascii="Comic Sans MS" w:hAnsi="Comic Sans MS"/>
        </w:rPr>
        <w:t>emphasize</w:t>
      </w:r>
      <w:r w:rsidR="004429D0" w:rsidRPr="00F1473D">
        <w:rPr>
          <w:rFonts w:ascii="Comic Sans MS" w:hAnsi="Comic Sans MS"/>
        </w:rPr>
        <w:t xml:space="preserve"> </w:t>
      </w:r>
      <w:r w:rsidR="00843964" w:rsidRPr="00F1473D">
        <w:rPr>
          <w:rFonts w:ascii="Comic Sans MS" w:hAnsi="Comic Sans MS"/>
        </w:rPr>
        <w:t xml:space="preserve">ESG </w:t>
      </w:r>
      <w:r w:rsidR="004429D0" w:rsidRPr="00F1473D">
        <w:rPr>
          <w:rFonts w:ascii="Comic Sans MS" w:hAnsi="Comic Sans MS"/>
        </w:rPr>
        <w:t>factors</w:t>
      </w:r>
      <w:r w:rsidR="00843964" w:rsidRPr="00F1473D">
        <w:rPr>
          <w:rFonts w:ascii="Comic Sans MS" w:hAnsi="Comic Sans MS"/>
        </w:rPr>
        <w:t xml:space="preserve"> for</w:t>
      </w:r>
      <w:r w:rsidR="0046250D" w:rsidRPr="00F1473D">
        <w:rPr>
          <w:rFonts w:ascii="Comic Sans MS" w:hAnsi="Comic Sans MS"/>
        </w:rPr>
        <w:t xml:space="preserve"> </w:t>
      </w:r>
      <w:r w:rsidR="004429D0" w:rsidRPr="00F1473D">
        <w:rPr>
          <w:rFonts w:ascii="Comic Sans MS" w:hAnsi="Comic Sans MS"/>
        </w:rPr>
        <w:t xml:space="preserve">reasons </w:t>
      </w:r>
      <w:r w:rsidR="0046250D" w:rsidRPr="00F1473D">
        <w:rPr>
          <w:rFonts w:ascii="Comic Sans MS" w:hAnsi="Comic Sans MS"/>
        </w:rPr>
        <w:t xml:space="preserve">other than </w:t>
      </w:r>
      <w:r w:rsidR="004429D0" w:rsidRPr="00F1473D">
        <w:rPr>
          <w:rFonts w:ascii="Comic Sans MS" w:hAnsi="Comic Sans MS"/>
        </w:rPr>
        <w:t>investment performance</w:t>
      </w:r>
      <w:r>
        <w:rPr>
          <w:rFonts w:ascii="Comic Sans MS" w:hAnsi="Comic Sans MS"/>
        </w:rPr>
        <w:t>,</w:t>
      </w:r>
      <w:r w:rsidR="00843964" w:rsidRPr="00F1473D">
        <w:rPr>
          <w:rFonts w:ascii="Comic Sans MS" w:hAnsi="Comic Sans MS"/>
        </w:rPr>
        <w:t xml:space="preserve"> </w:t>
      </w:r>
      <w:r>
        <w:rPr>
          <w:rFonts w:ascii="Comic Sans MS" w:hAnsi="Comic Sans MS"/>
        </w:rPr>
        <w:t>h</w:t>
      </w:r>
      <w:r w:rsidR="00E32F2A" w:rsidRPr="00E32F2A">
        <w:rPr>
          <w:rFonts w:ascii="Comic Sans MS" w:hAnsi="Comic Sans MS"/>
        </w:rPr>
        <w:t xml:space="preserve">ow do </w:t>
      </w:r>
      <w:r>
        <w:rPr>
          <w:rFonts w:ascii="Comic Sans MS" w:hAnsi="Comic Sans MS"/>
        </w:rPr>
        <w:t xml:space="preserve">they </w:t>
      </w:r>
      <w:r w:rsidR="00E32F2A" w:rsidRPr="00E32F2A">
        <w:rPr>
          <w:rFonts w:ascii="Comic Sans MS" w:hAnsi="Comic Sans MS"/>
        </w:rPr>
        <w:t xml:space="preserve">measure </w:t>
      </w:r>
      <w:r>
        <w:rPr>
          <w:rFonts w:ascii="Comic Sans MS" w:hAnsi="Comic Sans MS"/>
        </w:rPr>
        <w:t>positive societal</w:t>
      </w:r>
      <w:r w:rsidR="00E32F2A" w:rsidRPr="00E32F2A">
        <w:rPr>
          <w:rFonts w:ascii="Comic Sans MS" w:hAnsi="Comic Sans MS"/>
        </w:rPr>
        <w:t xml:space="preserve"> impact</w:t>
      </w:r>
      <w:r w:rsidR="00E32F2A">
        <w:rPr>
          <w:rFonts w:ascii="Comic Sans MS" w:hAnsi="Comic Sans MS"/>
        </w:rPr>
        <w:t>?</w:t>
      </w:r>
    </w:p>
    <w:p w14:paraId="40136B80" w14:textId="7F619B2F" w:rsidR="00225D27" w:rsidRPr="00F1473D" w:rsidRDefault="00225D27" w:rsidP="00F76460">
      <w:pPr>
        <w:pStyle w:val="ListParagraph"/>
        <w:numPr>
          <w:ilvl w:val="0"/>
          <w:numId w:val="13"/>
        </w:numPr>
        <w:spacing w:after="120" w:line="240" w:lineRule="auto"/>
        <w:ind w:right="360"/>
        <w:rPr>
          <w:rFonts w:ascii="Comic Sans MS" w:hAnsi="Comic Sans MS"/>
        </w:rPr>
      </w:pPr>
      <w:r w:rsidRPr="00F1473D">
        <w:rPr>
          <w:rFonts w:ascii="Comic Sans MS" w:hAnsi="Comic Sans MS"/>
        </w:rPr>
        <w:lastRenderedPageBreak/>
        <w:t xml:space="preserve">How does an Asset Manager use the power of the Proxy vote </w:t>
      </w:r>
      <w:r w:rsidR="00F26A4A" w:rsidRPr="00F1473D">
        <w:rPr>
          <w:rFonts w:ascii="Comic Sans MS" w:hAnsi="Comic Sans MS"/>
        </w:rPr>
        <w:t xml:space="preserve">and Corporate Engagement </w:t>
      </w:r>
      <w:r w:rsidRPr="00F1473D">
        <w:rPr>
          <w:rFonts w:ascii="Comic Sans MS" w:hAnsi="Comic Sans MS"/>
        </w:rPr>
        <w:t xml:space="preserve">to affect change in </w:t>
      </w:r>
      <w:r w:rsidR="00021793">
        <w:rPr>
          <w:rFonts w:ascii="Comic Sans MS" w:hAnsi="Comic Sans MS"/>
        </w:rPr>
        <w:t>the Environmental</w:t>
      </w:r>
      <w:r w:rsidRPr="00F1473D">
        <w:rPr>
          <w:rFonts w:ascii="Comic Sans MS" w:hAnsi="Comic Sans MS"/>
        </w:rPr>
        <w:t>, Social and Governance policies</w:t>
      </w:r>
      <w:r w:rsidR="00021793">
        <w:rPr>
          <w:rFonts w:ascii="Comic Sans MS" w:hAnsi="Comic Sans MS"/>
        </w:rPr>
        <w:t xml:space="preserve"> of the Companies they own shares of?</w:t>
      </w:r>
    </w:p>
    <w:p w14:paraId="440FD368" w14:textId="77777777" w:rsidR="00CD054A" w:rsidRPr="00F1473D" w:rsidRDefault="009A7350" w:rsidP="0078416A">
      <w:pPr>
        <w:keepNext/>
        <w:spacing w:after="120" w:line="240" w:lineRule="auto"/>
        <w:ind w:left="180" w:right="360"/>
        <w:rPr>
          <w:rFonts w:ascii="Comic Sans MS" w:hAnsi="Comic Sans MS"/>
        </w:rPr>
      </w:pPr>
      <w:r w:rsidRPr="00F1473D">
        <w:rPr>
          <w:rFonts w:ascii="Comic Sans MS" w:hAnsi="Comic Sans MS"/>
        </w:rPr>
        <w:br/>
      </w:r>
      <w:r w:rsidR="0046250D" w:rsidRPr="00F1473D">
        <w:rPr>
          <w:rFonts w:ascii="Comic Sans MS" w:hAnsi="Comic Sans MS"/>
        </w:rPr>
        <w:t>This course</w:t>
      </w:r>
      <w:r w:rsidR="00711B82" w:rsidRPr="00F1473D">
        <w:rPr>
          <w:rFonts w:ascii="Comic Sans MS" w:hAnsi="Comic Sans MS"/>
        </w:rPr>
        <w:t xml:space="preserve"> </w:t>
      </w:r>
      <w:r w:rsidR="007B6CAD" w:rsidRPr="00F1473D">
        <w:rPr>
          <w:rFonts w:ascii="Comic Sans MS" w:hAnsi="Comic Sans MS"/>
        </w:rPr>
        <w:t xml:space="preserve">tries to answer the questions just raised as well as address other issues Equity Investors face. </w:t>
      </w:r>
      <w:r w:rsidRPr="00F1473D">
        <w:rPr>
          <w:rFonts w:ascii="Comic Sans MS" w:hAnsi="Comic Sans MS"/>
        </w:rPr>
        <w:t>It</w:t>
      </w:r>
      <w:r w:rsidR="00963E31" w:rsidRPr="00F1473D">
        <w:rPr>
          <w:rFonts w:ascii="Comic Sans MS" w:hAnsi="Comic Sans MS"/>
        </w:rPr>
        <w:t>s main topics cover:</w:t>
      </w:r>
      <w:r w:rsidR="00CD054A" w:rsidRPr="00F1473D">
        <w:rPr>
          <w:rFonts w:ascii="Comic Sans MS" w:hAnsi="Comic Sans MS"/>
        </w:rPr>
        <w:t xml:space="preserve"> </w:t>
      </w:r>
    </w:p>
    <w:p w14:paraId="2E2E28AE" w14:textId="2986D218" w:rsidR="00CD054A" w:rsidRPr="00F1473D" w:rsidRDefault="00E32F2A" w:rsidP="00F76460">
      <w:pPr>
        <w:pStyle w:val="ListParagraph"/>
        <w:keepNext/>
        <w:numPr>
          <w:ilvl w:val="0"/>
          <w:numId w:val="32"/>
        </w:numPr>
        <w:spacing w:after="120" w:line="240" w:lineRule="auto"/>
        <w:ind w:right="360"/>
        <w:rPr>
          <w:rFonts w:ascii="Comic Sans MS" w:hAnsi="Comic Sans MS"/>
        </w:rPr>
      </w:pPr>
      <w:r>
        <w:rPr>
          <w:rFonts w:ascii="Comic Sans MS" w:hAnsi="Comic Sans MS"/>
        </w:rPr>
        <w:t xml:space="preserve">Reviewing </w:t>
      </w:r>
      <w:r w:rsidR="00066EB3">
        <w:rPr>
          <w:rFonts w:ascii="Comic Sans MS" w:hAnsi="Comic Sans MS"/>
        </w:rPr>
        <w:t xml:space="preserve">the building blocks needed to evaluate a company on ESG, specifically, </w:t>
      </w:r>
      <w:r w:rsidR="005A3333">
        <w:rPr>
          <w:rFonts w:ascii="Comic Sans MS" w:hAnsi="Comic Sans MS"/>
        </w:rPr>
        <w:t xml:space="preserve">company </w:t>
      </w:r>
      <w:r w:rsidR="00066EB3">
        <w:rPr>
          <w:rFonts w:ascii="Comic Sans MS" w:hAnsi="Comic Sans MS"/>
        </w:rPr>
        <w:t>disclosures and rating methods.</w:t>
      </w:r>
    </w:p>
    <w:p w14:paraId="3BDB6444" w14:textId="77777777" w:rsidR="00CD054A" w:rsidRPr="00F1473D" w:rsidRDefault="00761ADC" w:rsidP="00F76460">
      <w:pPr>
        <w:pStyle w:val="ListParagraph"/>
        <w:keepNext/>
        <w:numPr>
          <w:ilvl w:val="0"/>
          <w:numId w:val="32"/>
        </w:numPr>
        <w:spacing w:after="120" w:line="240" w:lineRule="auto"/>
        <w:ind w:right="360"/>
        <w:rPr>
          <w:rFonts w:ascii="Comic Sans MS" w:hAnsi="Comic Sans MS"/>
        </w:rPr>
      </w:pPr>
      <w:r w:rsidRPr="00F1473D">
        <w:rPr>
          <w:rFonts w:ascii="Comic Sans MS" w:hAnsi="Comic Sans MS"/>
        </w:rPr>
        <w:t>Compari</w:t>
      </w:r>
      <w:r w:rsidR="00BA0855" w:rsidRPr="00F1473D">
        <w:rPr>
          <w:rFonts w:ascii="Comic Sans MS" w:hAnsi="Comic Sans MS"/>
        </w:rPr>
        <w:t xml:space="preserve">ng </w:t>
      </w:r>
      <w:r w:rsidRPr="00F1473D">
        <w:rPr>
          <w:rFonts w:ascii="Comic Sans MS" w:hAnsi="Comic Sans MS"/>
        </w:rPr>
        <w:t xml:space="preserve">historical returns, risks and costs of portfolios that incorporate ESG factors versus </w:t>
      </w:r>
      <w:r w:rsidR="00711B82" w:rsidRPr="00F1473D">
        <w:rPr>
          <w:rFonts w:ascii="Comic Sans MS" w:hAnsi="Comic Sans MS"/>
        </w:rPr>
        <w:t>ones that don’t</w:t>
      </w:r>
    </w:p>
    <w:p w14:paraId="6AA2625C" w14:textId="7D3EF1D0" w:rsidR="00CD054A" w:rsidRPr="00F1473D" w:rsidRDefault="00761ADC" w:rsidP="00F76460">
      <w:pPr>
        <w:pStyle w:val="ListParagraph"/>
        <w:keepNext/>
        <w:numPr>
          <w:ilvl w:val="0"/>
          <w:numId w:val="32"/>
        </w:numPr>
        <w:spacing w:after="120" w:line="240" w:lineRule="auto"/>
        <w:ind w:right="360"/>
        <w:rPr>
          <w:rFonts w:ascii="Comic Sans MS" w:hAnsi="Comic Sans MS"/>
        </w:rPr>
      </w:pPr>
      <w:r w:rsidRPr="00F1473D">
        <w:rPr>
          <w:rFonts w:ascii="Comic Sans MS" w:hAnsi="Comic Sans MS"/>
        </w:rPr>
        <w:t>Evaluat</w:t>
      </w:r>
      <w:r w:rsidR="00B72860" w:rsidRPr="00F1473D">
        <w:rPr>
          <w:rFonts w:ascii="Comic Sans MS" w:hAnsi="Comic Sans MS"/>
        </w:rPr>
        <w:t>ing</w:t>
      </w:r>
      <w:r w:rsidRPr="00F1473D">
        <w:rPr>
          <w:rFonts w:ascii="Comic Sans MS" w:hAnsi="Comic Sans MS"/>
        </w:rPr>
        <w:t xml:space="preserve"> how Active</w:t>
      </w:r>
      <w:r w:rsidR="00E95C6F">
        <w:rPr>
          <w:rFonts w:ascii="Comic Sans MS" w:hAnsi="Comic Sans MS"/>
        </w:rPr>
        <w:t xml:space="preserve"> and Passive Equity </w:t>
      </w:r>
      <w:r w:rsidRPr="00F1473D">
        <w:rPr>
          <w:rFonts w:ascii="Comic Sans MS" w:hAnsi="Comic Sans MS"/>
        </w:rPr>
        <w:t xml:space="preserve">managers </w:t>
      </w:r>
      <w:r w:rsidR="00CD054A" w:rsidRPr="00F1473D">
        <w:rPr>
          <w:rFonts w:ascii="Comic Sans MS" w:hAnsi="Comic Sans MS"/>
        </w:rPr>
        <w:t>incorporate ESG factors in</w:t>
      </w:r>
      <w:r w:rsidR="009C4A2A" w:rsidRPr="00F1473D">
        <w:rPr>
          <w:rFonts w:ascii="Comic Sans MS" w:hAnsi="Comic Sans MS"/>
        </w:rPr>
        <w:t>to</w:t>
      </w:r>
      <w:r w:rsidR="00CD054A" w:rsidRPr="00F1473D">
        <w:rPr>
          <w:rFonts w:ascii="Comic Sans MS" w:hAnsi="Comic Sans MS"/>
        </w:rPr>
        <w:t xml:space="preserve"> their portf</w:t>
      </w:r>
      <w:r w:rsidR="00EC6CD5" w:rsidRPr="00F1473D">
        <w:rPr>
          <w:rFonts w:ascii="Comic Sans MS" w:hAnsi="Comic Sans MS"/>
        </w:rPr>
        <w:t>olio manage</w:t>
      </w:r>
      <w:r w:rsidR="00B72860" w:rsidRPr="00F1473D">
        <w:rPr>
          <w:rFonts w:ascii="Comic Sans MS" w:hAnsi="Comic Sans MS"/>
        </w:rPr>
        <w:t>ment</w:t>
      </w:r>
      <w:r w:rsidR="00EC6CD5" w:rsidRPr="00F1473D">
        <w:rPr>
          <w:rFonts w:ascii="Comic Sans MS" w:hAnsi="Comic Sans MS"/>
        </w:rPr>
        <w:t xml:space="preserve"> process</w:t>
      </w:r>
      <w:r w:rsidR="009C4A2A" w:rsidRPr="00F1473D">
        <w:rPr>
          <w:rFonts w:ascii="Comic Sans MS" w:hAnsi="Comic Sans MS"/>
        </w:rPr>
        <w:t xml:space="preserve">, </w:t>
      </w:r>
    </w:p>
    <w:p w14:paraId="72A46592" w14:textId="79D5266D" w:rsidR="00A45C3A" w:rsidRPr="00F1473D" w:rsidRDefault="00E95C6F" w:rsidP="00F76460">
      <w:pPr>
        <w:pStyle w:val="ListParagraph"/>
        <w:keepNext/>
        <w:numPr>
          <w:ilvl w:val="0"/>
          <w:numId w:val="32"/>
        </w:numPr>
        <w:spacing w:after="120" w:line="240" w:lineRule="auto"/>
        <w:ind w:right="360"/>
        <w:rPr>
          <w:rFonts w:ascii="Comic Sans MS" w:hAnsi="Comic Sans MS"/>
        </w:rPr>
      </w:pPr>
      <w:r>
        <w:rPr>
          <w:rFonts w:ascii="Comic Sans MS" w:hAnsi="Comic Sans MS"/>
        </w:rPr>
        <w:t>Explor</w:t>
      </w:r>
      <w:r w:rsidR="005A3333">
        <w:rPr>
          <w:rFonts w:ascii="Comic Sans MS" w:hAnsi="Comic Sans MS"/>
        </w:rPr>
        <w:t>ing</w:t>
      </w:r>
      <w:r>
        <w:rPr>
          <w:rFonts w:ascii="Comic Sans MS" w:hAnsi="Comic Sans MS"/>
        </w:rPr>
        <w:t xml:space="preserve"> how ESG factors into investment decisions in Alternative Asset Classes like Hedge Funds, Private Equity and Venture Capital</w:t>
      </w:r>
    </w:p>
    <w:p w14:paraId="27D97F70" w14:textId="5804A135" w:rsidR="00CD054A" w:rsidRPr="00F76460" w:rsidRDefault="009C4A2A" w:rsidP="00F76460">
      <w:pPr>
        <w:pStyle w:val="ListParagraph"/>
        <w:keepNext/>
        <w:numPr>
          <w:ilvl w:val="0"/>
          <w:numId w:val="32"/>
        </w:numPr>
        <w:spacing w:after="120" w:line="240" w:lineRule="auto"/>
        <w:ind w:right="360"/>
        <w:rPr>
          <w:rFonts w:ascii="Comic Sans MS" w:hAnsi="Comic Sans MS"/>
        </w:rPr>
      </w:pPr>
      <w:r w:rsidRPr="00F76460">
        <w:rPr>
          <w:rFonts w:ascii="Comic Sans MS" w:hAnsi="Comic Sans MS"/>
        </w:rPr>
        <w:t>Explor</w:t>
      </w:r>
      <w:r w:rsidR="00C01AC3" w:rsidRPr="00F76460">
        <w:rPr>
          <w:rFonts w:ascii="Comic Sans MS" w:hAnsi="Comic Sans MS"/>
        </w:rPr>
        <w:t>ing</w:t>
      </w:r>
      <w:r w:rsidRPr="00F76460">
        <w:rPr>
          <w:rFonts w:ascii="Comic Sans MS" w:hAnsi="Comic Sans MS"/>
        </w:rPr>
        <w:t xml:space="preserve"> how Asset Managers use the power of the vote </w:t>
      </w:r>
      <w:r w:rsidR="009C7F92" w:rsidRPr="00F76460">
        <w:rPr>
          <w:rFonts w:ascii="Comic Sans MS" w:hAnsi="Comic Sans MS"/>
        </w:rPr>
        <w:t xml:space="preserve">and other forms of engagement </w:t>
      </w:r>
      <w:r w:rsidRPr="00F76460">
        <w:rPr>
          <w:rFonts w:ascii="Comic Sans MS" w:hAnsi="Comic Sans MS"/>
        </w:rPr>
        <w:t>to affect change in Corporate Behavior</w:t>
      </w:r>
    </w:p>
    <w:p w14:paraId="5DFAA6A8" w14:textId="77777777" w:rsidR="00906D9A" w:rsidRDefault="00906D9A" w:rsidP="0078416A">
      <w:pPr>
        <w:keepNext/>
        <w:spacing w:before="240" w:after="120" w:line="240" w:lineRule="auto"/>
        <w:ind w:left="180" w:right="360"/>
        <w:rPr>
          <w:rFonts w:ascii="Comic Sans MS" w:hAnsi="Comic Sans MS"/>
          <w:b/>
        </w:rPr>
      </w:pPr>
      <w:r w:rsidRPr="00F1473D">
        <w:rPr>
          <w:rFonts w:ascii="Comic Sans MS" w:hAnsi="Comic Sans MS"/>
          <w:b/>
        </w:rPr>
        <w:t>ASSIGNMENTS</w:t>
      </w:r>
    </w:p>
    <w:p w14:paraId="73D852FF" w14:textId="576FF7A5" w:rsidR="00762600" w:rsidRPr="00A12DF9" w:rsidRDefault="00762600" w:rsidP="0078416A">
      <w:pPr>
        <w:spacing w:after="80"/>
        <w:ind w:left="180"/>
        <w:rPr>
          <w:rFonts w:ascii="Comic Sans MS" w:hAnsi="Comic Sans MS"/>
        </w:rPr>
      </w:pPr>
      <w:r w:rsidRPr="00A12DF9">
        <w:rPr>
          <w:rFonts w:ascii="Comic Sans MS" w:hAnsi="Comic Sans MS"/>
        </w:rPr>
        <w:t>All assignmen</w:t>
      </w:r>
      <w:r>
        <w:rPr>
          <w:rFonts w:ascii="Comic Sans MS" w:hAnsi="Comic Sans MS"/>
        </w:rPr>
        <w:t xml:space="preserve">ts must be </w:t>
      </w:r>
      <w:r w:rsidR="005A3333">
        <w:rPr>
          <w:rFonts w:ascii="Comic Sans MS" w:hAnsi="Comic Sans MS"/>
        </w:rPr>
        <w:t xml:space="preserve">posted in Canvas </w:t>
      </w:r>
      <w:r>
        <w:rPr>
          <w:rFonts w:ascii="Comic Sans MS" w:hAnsi="Comic Sans MS"/>
        </w:rPr>
        <w:t>before class.  Some assignments will be Type A, some Type B.</w:t>
      </w:r>
    </w:p>
    <w:p w14:paraId="4CF4E3EB" w14:textId="77777777" w:rsidR="00762600" w:rsidRPr="00A12DF9" w:rsidRDefault="00762600" w:rsidP="0078416A">
      <w:pPr>
        <w:spacing w:after="80"/>
        <w:ind w:left="180"/>
        <w:rPr>
          <w:rFonts w:ascii="Comic Sans MS" w:hAnsi="Comic Sans MS"/>
          <w:b/>
        </w:rPr>
      </w:pPr>
      <w:r w:rsidRPr="00A12DF9">
        <w:rPr>
          <w:rFonts w:ascii="Comic Sans MS" w:hAnsi="Comic Sans MS"/>
        </w:rPr>
        <w:t xml:space="preserve">For Type A assignments, each student must participate in a group discussion regarding the assignment before submission and review and if needed edit the final submission.  </w:t>
      </w:r>
      <w:r>
        <w:rPr>
          <w:rFonts w:ascii="Comic Sans MS" w:hAnsi="Comic Sans MS"/>
        </w:rPr>
        <w:br/>
      </w:r>
      <w:r w:rsidRPr="00A12DF9">
        <w:rPr>
          <w:rFonts w:ascii="Comic Sans MS" w:hAnsi="Comic Sans MS"/>
          <w:b/>
        </w:rPr>
        <w:t>Collaboration across groups is not allowed.</w:t>
      </w:r>
      <w:r>
        <w:rPr>
          <w:rFonts w:ascii="Comic Sans MS" w:hAnsi="Comic Sans MS"/>
          <w:b/>
        </w:rPr>
        <w:t xml:space="preserve">  Please hand i</w:t>
      </w:r>
      <w:r w:rsidR="000F1EB1">
        <w:rPr>
          <w:rFonts w:ascii="Comic Sans MS" w:hAnsi="Comic Sans MS"/>
          <w:b/>
        </w:rPr>
        <w:t>n</w:t>
      </w:r>
      <w:r>
        <w:rPr>
          <w:rFonts w:ascii="Comic Sans MS" w:hAnsi="Comic Sans MS"/>
          <w:b/>
        </w:rPr>
        <w:t xml:space="preserve"> one solution per group.</w:t>
      </w:r>
    </w:p>
    <w:p w14:paraId="69D87BC5" w14:textId="77777777" w:rsidR="00906D9A" w:rsidRPr="00F1473D" w:rsidRDefault="00762600" w:rsidP="0078416A">
      <w:pPr>
        <w:spacing w:after="80"/>
        <w:ind w:left="180"/>
        <w:rPr>
          <w:rFonts w:ascii="Comic Sans MS" w:hAnsi="Comic Sans MS"/>
        </w:rPr>
      </w:pPr>
      <w:r w:rsidRPr="00A12DF9">
        <w:rPr>
          <w:rFonts w:ascii="Comic Sans MS" w:hAnsi="Comic Sans MS"/>
        </w:rPr>
        <w:t>For Type B Assignments, each student should attempt to answer the questions on their own before collaborating with other students.</w:t>
      </w:r>
      <w:r>
        <w:rPr>
          <w:rFonts w:ascii="Comic Sans MS" w:hAnsi="Comic Sans MS"/>
        </w:rPr>
        <w:t xml:space="preserve">  Each student should hand in their own submission for Type B assignments.</w:t>
      </w:r>
      <w:r>
        <w:rPr>
          <w:rFonts w:ascii="Comic Sans MS" w:hAnsi="Comic Sans MS"/>
        </w:rPr>
        <w:br/>
      </w:r>
      <w:r w:rsidR="009C20D7" w:rsidRPr="00F1473D">
        <w:rPr>
          <w:rFonts w:ascii="Comic Sans MS" w:hAnsi="Comic Sans MS"/>
        </w:rPr>
        <w:br/>
      </w:r>
      <w:r w:rsidR="00906D9A" w:rsidRPr="00F1473D">
        <w:rPr>
          <w:rFonts w:ascii="Comic Sans MS" w:hAnsi="Comic Sans MS"/>
          <w:b/>
        </w:rPr>
        <w:t>METHOD OF EVALUATION</w:t>
      </w:r>
    </w:p>
    <w:tbl>
      <w:tblPr>
        <w:tblStyle w:val="TableGrid"/>
        <w:tblW w:w="0" w:type="auto"/>
        <w:tblLayout w:type="fixed"/>
        <w:tblLook w:val="04A0" w:firstRow="1" w:lastRow="0" w:firstColumn="1" w:lastColumn="0" w:noHBand="0" w:noVBand="1"/>
      </w:tblPr>
      <w:tblGrid>
        <w:gridCol w:w="4675"/>
        <w:gridCol w:w="2700"/>
      </w:tblGrid>
      <w:tr w:rsidR="00906D9A" w:rsidRPr="00F1473D" w14:paraId="3AD812FF" w14:textId="77777777" w:rsidTr="00470816">
        <w:tc>
          <w:tcPr>
            <w:tcW w:w="4675" w:type="dxa"/>
          </w:tcPr>
          <w:p w14:paraId="311126C2" w14:textId="77777777" w:rsidR="00906D9A" w:rsidRPr="00F1473D" w:rsidRDefault="00906D9A" w:rsidP="0078416A">
            <w:pPr>
              <w:ind w:left="180" w:right="360"/>
              <w:rPr>
                <w:rFonts w:ascii="Comic Sans MS" w:hAnsi="Comic Sans MS"/>
              </w:rPr>
            </w:pPr>
            <w:r w:rsidRPr="00F1473D">
              <w:rPr>
                <w:rFonts w:ascii="Comic Sans MS" w:hAnsi="Comic Sans MS"/>
              </w:rPr>
              <w:t xml:space="preserve">Class </w:t>
            </w:r>
            <w:r w:rsidR="00C52951">
              <w:rPr>
                <w:rFonts w:ascii="Comic Sans MS" w:hAnsi="Comic Sans MS"/>
              </w:rPr>
              <w:t xml:space="preserve">Attendance and </w:t>
            </w:r>
            <w:r w:rsidRPr="00F1473D">
              <w:rPr>
                <w:rFonts w:ascii="Comic Sans MS" w:hAnsi="Comic Sans MS"/>
              </w:rPr>
              <w:t xml:space="preserve">Participation </w:t>
            </w:r>
          </w:p>
        </w:tc>
        <w:tc>
          <w:tcPr>
            <w:tcW w:w="2700" w:type="dxa"/>
          </w:tcPr>
          <w:p w14:paraId="7A08B36B" w14:textId="5A6B44F9" w:rsidR="00906D9A" w:rsidRPr="00F1473D" w:rsidRDefault="00331812" w:rsidP="0078416A">
            <w:pPr>
              <w:ind w:left="180" w:right="360"/>
              <w:jc w:val="center"/>
              <w:rPr>
                <w:rFonts w:ascii="Comic Sans MS" w:hAnsi="Comic Sans MS"/>
              </w:rPr>
            </w:pPr>
            <w:r>
              <w:rPr>
                <w:rFonts w:ascii="Comic Sans MS" w:hAnsi="Comic Sans MS"/>
              </w:rPr>
              <w:t>50</w:t>
            </w:r>
            <w:r w:rsidR="00906D9A" w:rsidRPr="00F1473D">
              <w:rPr>
                <w:rFonts w:ascii="Comic Sans MS" w:hAnsi="Comic Sans MS"/>
              </w:rPr>
              <w:t>%</w:t>
            </w:r>
          </w:p>
        </w:tc>
      </w:tr>
      <w:tr w:rsidR="00906D9A" w:rsidRPr="00F1473D" w14:paraId="49CA6FA9" w14:textId="77777777" w:rsidTr="00470816">
        <w:tc>
          <w:tcPr>
            <w:tcW w:w="4675" w:type="dxa"/>
          </w:tcPr>
          <w:p w14:paraId="0E5D95AF" w14:textId="77777777" w:rsidR="00906D9A" w:rsidRPr="00F1473D" w:rsidRDefault="009C4A2A" w:rsidP="0078416A">
            <w:pPr>
              <w:ind w:left="180" w:right="360"/>
              <w:rPr>
                <w:rFonts w:ascii="Comic Sans MS" w:hAnsi="Comic Sans MS"/>
              </w:rPr>
            </w:pPr>
            <w:r w:rsidRPr="00F1473D">
              <w:rPr>
                <w:rFonts w:ascii="Comic Sans MS" w:hAnsi="Comic Sans MS"/>
              </w:rPr>
              <w:t>Assignments</w:t>
            </w:r>
          </w:p>
        </w:tc>
        <w:tc>
          <w:tcPr>
            <w:tcW w:w="2700" w:type="dxa"/>
          </w:tcPr>
          <w:p w14:paraId="37441445" w14:textId="21AEFA5B" w:rsidR="00906D9A" w:rsidRPr="00F1473D" w:rsidRDefault="007C10EE" w:rsidP="0078416A">
            <w:pPr>
              <w:ind w:left="180" w:right="360"/>
              <w:jc w:val="center"/>
              <w:rPr>
                <w:rFonts w:ascii="Comic Sans MS" w:hAnsi="Comic Sans MS"/>
              </w:rPr>
            </w:pPr>
            <w:r>
              <w:rPr>
                <w:rFonts w:ascii="Comic Sans MS" w:hAnsi="Comic Sans MS"/>
              </w:rPr>
              <w:t>30</w:t>
            </w:r>
            <w:r w:rsidR="00906D9A" w:rsidRPr="00F1473D">
              <w:rPr>
                <w:rFonts w:ascii="Comic Sans MS" w:hAnsi="Comic Sans MS"/>
              </w:rPr>
              <w:t>%</w:t>
            </w:r>
          </w:p>
        </w:tc>
      </w:tr>
      <w:tr w:rsidR="00906D9A" w:rsidRPr="00F1473D" w14:paraId="46D0D603" w14:textId="77777777" w:rsidTr="00470816">
        <w:tc>
          <w:tcPr>
            <w:tcW w:w="4675" w:type="dxa"/>
          </w:tcPr>
          <w:p w14:paraId="762A8301" w14:textId="3E30F2CB" w:rsidR="00906D9A" w:rsidRPr="00F1473D" w:rsidRDefault="00331812" w:rsidP="0078416A">
            <w:pPr>
              <w:ind w:left="180" w:right="360"/>
              <w:rPr>
                <w:rFonts w:ascii="Comic Sans MS" w:hAnsi="Comic Sans MS"/>
              </w:rPr>
            </w:pPr>
            <w:r>
              <w:rPr>
                <w:rFonts w:ascii="Comic Sans MS" w:hAnsi="Comic Sans MS"/>
              </w:rPr>
              <w:t xml:space="preserve">Final </w:t>
            </w:r>
            <w:r w:rsidR="006F158F" w:rsidRPr="00F1473D">
              <w:rPr>
                <w:rFonts w:ascii="Comic Sans MS" w:hAnsi="Comic Sans MS"/>
              </w:rPr>
              <w:t>Project</w:t>
            </w:r>
          </w:p>
        </w:tc>
        <w:tc>
          <w:tcPr>
            <w:tcW w:w="2700" w:type="dxa"/>
          </w:tcPr>
          <w:p w14:paraId="57F0AAAF" w14:textId="58193A4E" w:rsidR="00906D9A" w:rsidRPr="00F1473D" w:rsidRDefault="00331812" w:rsidP="0078416A">
            <w:pPr>
              <w:ind w:left="180" w:right="360"/>
              <w:jc w:val="center"/>
              <w:rPr>
                <w:rFonts w:ascii="Comic Sans MS" w:hAnsi="Comic Sans MS"/>
              </w:rPr>
            </w:pPr>
            <w:r>
              <w:rPr>
                <w:rFonts w:ascii="Comic Sans MS" w:hAnsi="Comic Sans MS"/>
              </w:rPr>
              <w:t>20</w:t>
            </w:r>
            <w:r w:rsidR="00906D9A" w:rsidRPr="00F1473D">
              <w:rPr>
                <w:rFonts w:ascii="Comic Sans MS" w:hAnsi="Comic Sans MS"/>
              </w:rPr>
              <w:t>%</w:t>
            </w:r>
          </w:p>
        </w:tc>
      </w:tr>
    </w:tbl>
    <w:p w14:paraId="54AF1425" w14:textId="77777777" w:rsidR="00906D9A" w:rsidRPr="00F1473D" w:rsidRDefault="009C20D7" w:rsidP="0078416A">
      <w:pPr>
        <w:spacing w:before="120" w:after="120" w:line="240" w:lineRule="auto"/>
        <w:ind w:left="180" w:right="360"/>
        <w:rPr>
          <w:rFonts w:ascii="Comic Sans MS" w:hAnsi="Comic Sans MS"/>
        </w:rPr>
      </w:pPr>
      <w:r w:rsidRPr="00F1473D">
        <w:rPr>
          <w:rFonts w:ascii="Comic Sans MS" w:hAnsi="Comic Sans MS"/>
        </w:rPr>
        <w:br/>
      </w:r>
      <w:r w:rsidR="00906D9A" w:rsidRPr="00F1473D">
        <w:rPr>
          <w:rFonts w:ascii="Comic Sans MS" w:hAnsi="Comic Sans MS"/>
        </w:rPr>
        <w:t xml:space="preserve">I reserve the right to downgrade (including failing) any student who misses a significant number of </w:t>
      </w:r>
      <w:r w:rsidR="0021667D" w:rsidRPr="00F1473D">
        <w:rPr>
          <w:rFonts w:ascii="Comic Sans MS" w:hAnsi="Comic Sans MS"/>
        </w:rPr>
        <w:t>classes or</w:t>
      </w:r>
      <w:r w:rsidR="00906D9A" w:rsidRPr="00F1473D">
        <w:rPr>
          <w:rFonts w:ascii="Comic Sans MS" w:hAnsi="Comic Sans MS"/>
        </w:rPr>
        <w:t xml:space="preserve"> does not complete </w:t>
      </w:r>
      <w:r w:rsidR="00573A30" w:rsidRPr="00F1473D">
        <w:rPr>
          <w:rFonts w:ascii="Comic Sans MS" w:hAnsi="Comic Sans MS"/>
        </w:rPr>
        <w:t>all</w:t>
      </w:r>
      <w:r w:rsidR="00906D9A" w:rsidRPr="00F1473D">
        <w:rPr>
          <w:rFonts w:ascii="Comic Sans MS" w:hAnsi="Comic Sans MS"/>
        </w:rPr>
        <w:t xml:space="preserve"> the assignments</w:t>
      </w:r>
      <w:r w:rsidR="00621902" w:rsidRPr="00F1473D">
        <w:rPr>
          <w:rFonts w:ascii="Comic Sans MS" w:hAnsi="Comic Sans MS"/>
        </w:rPr>
        <w:t xml:space="preserve">. </w:t>
      </w:r>
    </w:p>
    <w:p w14:paraId="5BA4AE39" w14:textId="1BA4706F" w:rsidR="009D5979" w:rsidRPr="00F1473D" w:rsidRDefault="00835083" w:rsidP="0078416A">
      <w:pPr>
        <w:spacing w:before="120" w:after="120" w:line="240" w:lineRule="auto"/>
        <w:ind w:left="180" w:right="360"/>
        <w:rPr>
          <w:rFonts w:ascii="Comic Sans MS" w:hAnsi="Comic Sans MS"/>
        </w:rPr>
      </w:pPr>
      <w:r w:rsidRPr="00F1473D">
        <w:rPr>
          <w:rFonts w:ascii="Comic Sans MS" w:hAnsi="Comic Sans MS"/>
        </w:rPr>
        <w:t>Not</w:t>
      </w:r>
      <w:r w:rsidR="00650D91">
        <w:rPr>
          <w:rFonts w:ascii="Comic Sans MS" w:hAnsi="Comic Sans MS"/>
        </w:rPr>
        <w:t>e</w:t>
      </w:r>
      <w:r w:rsidRPr="00F1473D">
        <w:rPr>
          <w:rFonts w:ascii="Comic Sans MS" w:hAnsi="Comic Sans MS"/>
        </w:rPr>
        <w:t xml:space="preserve"> there is a</w:t>
      </w:r>
      <w:r w:rsidR="00650D91">
        <w:rPr>
          <w:rFonts w:ascii="Comic Sans MS" w:hAnsi="Comic Sans MS"/>
        </w:rPr>
        <w:t xml:space="preserve"> Final </w:t>
      </w:r>
      <w:r w:rsidR="000C3044" w:rsidRPr="00F1473D">
        <w:rPr>
          <w:rFonts w:ascii="Comic Sans MS" w:hAnsi="Comic Sans MS"/>
        </w:rPr>
        <w:t>Project</w:t>
      </w:r>
      <w:r w:rsidRPr="00F1473D">
        <w:rPr>
          <w:rFonts w:ascii="Comic Sans MS" w:hAnsi="Comic Sans MS"/>
        </w:rPr>
        <w:t xml:space="preserve"> in the Method of Evaluation. The </w:t>
      </w:r>
      <w:r w:rsidR="000C3044" w:rsidRPr="00F1473D">
        <w:rPr>
          <w:rFonts w:ascii="Comic Sans MS" w:hAnsi="Comic Sans MS"/>
        </w:rPr>
        <w:t>P</w:t>
      </w:r>
      <w:r w:rsidR="00424BE4" w:rsidRPr="00F1473D">
        <w:rPr>
          <w:rFonts w:ascii="Comic Sans MS" w:hAnsi="Comic Sans MS"/>
        </w:rPr>
        <w:t>roject</w:t>
      </w:r>
      <w:r w:rsidR="00650D91">
        <w:rPr>
          <w:rFonts w:ascii="Comic Sans MS" w:hAnsi="Comic Sans MS"/>
        </w:rPr>
        <w:t xml:space="preserve"> involves evaluating the ESG risks and opportunities for a company you select.</w:t>
      </w:r>
      <w:r w:rsidR="00896687">
        <w:rPr>
          <w:rFonts w:ascii="Comic Sans MS" w:hAnsi="Comic Sans MS"/>
        </w:rPr>
        <w:t xml:space="preserve"> </w:t>
      </w:r>
      <w:r w:rsidR="00650D91">
        <w:rPr>
          <w:rFonts w:ascii="Comic Sans MS" w:hAnsi="Comic Sans MS"/>
        </w:rPr>
        <w:t>It is</w:t>
      </w:r>
      <w:r w:rsidR="00896687">
        <w:rPr>
          <w:rFonts w:ascii="Comic Sans MS" w:hAnsi="Comic Sans MS"/>
        </w:rPr>
        <w:t xml:space="preserve"> due at the end of the semester.</w:t>
      </w:r>
    </w:p>
    <w:p w14:paraId="7CA81262" w14:textId="6FB8D0CF" w:rsidR="00D762B1" w:rsidRDefault="00906D9A" w:rsidP="00D762B1">
      <w:pPr>
        <w:keepNext/>
        <w:spacing w:after="120" w:line="240" w:lineRule="auto"/>
        <w:ind w:left="180" w:right="360"/>
        <w:rPr>
          <w:rFonts w:ascii="Comic Sans MS" w:hAnsi="Comic Sans MS"/>
          <w:b/>
        </w:rPr>
      </w:pPr>
      <w:r w:rsidRPr="00F1473D">
        <w:rPr>
          <w:rFonts w:ascii="Comic Sans MS" w:hAnsi="Comic Sans MS"/>
          <w:b/>
        </w:rPr>
        <w:lastRenderedPageBreak/>
        <w:t>COURSE OUTLINE</w:t>
      </w:r>
    </w:p>
    <w:p w14:paraId="72CACD23" w14:textId="6962B3A1" w:rsidR="00D762B1" w:rsidRPr="00F1473D" w:rsidRDefault="00D762B1" w:rsidP="00D762B1">
      <w:pPr>
        <w:keepNext/>
        <w:spacing w:after="120" w:line="240" w:lineRule="auto"/>
        <w:ind w:left="180" w:right="360"/>
        <w:rPr>
          <w:rFonts w:ascii="Comic Sans MS" w:hAnsi="Comic Sans MS"/>
          <w:b/>
        </w:rPr>
      </w:pPr>
      <w:r>
        <w:rPr>
          <w:rFonts w:ascii="Comic Sans MS" w:hAnsi="Comic Sans MS"/>
          <w:b/>
        </w:rPr>
        <w:t>SECTION 1 – Building Blocks</w:t>
      </w:r>
    </w:p>
    <w:p w14:paraId="7DF6EB2F" w14:textId="652E8DC9" w:rsidR="00C15C73" w:rsidRDefault="00FF3FC8" w:rsidP="0078416A">
      <w:pPr>
        <w:pStyle w:val="BodyText2"/>
        <w:numPr>
          <w:ilvl w:val="0"/>
          <w:numId w:val="25"/>
        </w:numPr>
        <w:ind w:left="180" w:right="360" w:firstLine="0"/>
        <w:rPr>
          <w:sz w:val="22"/>
          <w:szCs w:val="22"/>
        </w:rPr>
      </w:pPr>
      <w:r w:rsidRPr="00470816">
        <w:rPr>
          <w:sz w:val="22"/>
          <w:szCs w:val="22"/>
        </w:rPr>
        <w:t>ESG Introduction</w:t>
      </w:r>
      <w:r w:rsidR="000853ED" w:rsidRPr="00470816">
        <w:rPr>
          <w:sz w:val="22"/>
          <w:szCs w:val="22"/>
        </w:rPr>
        <w:t xml:space="preserve"> </w:t>
      </w:r>
      <w:r w:rsidR="008941A6" w:rsidRPr="00470816">
        <w:rPr>
          <w:sz w:val="22"/>
          <w:szCs w:val="22"/>
        </w:rPr>
        <w:t>(</w:t>
      </w:r>
      <w:r w:rsidR="00330BB5" w:rsidRPr="00470816">
        <w:rPr>
          <w:sz w:val="22"/>
          <w:szCs w:val="22"/>
        </w:rPr>
        <w:t>10/2</w:t>
      </w:r>
      <w:r w:rsidR="0055401C">
        <w:rPr>
          <w:sz w:val="22"/>
          <w:szCs w:val="22"/>
        </w:rPr>
        <w:t>4</w:t>
      </w:r>
      <w:r w:rsidR="008941A6" w:rsidRPr="00470816">
        <w:rPr>
          <w:sz w:val="22"/>
          <w:szCs w:val="22"/>
        </w:rPr>
        <w:t>)</w:t>
      </w:r>
      <w:r w:rsidR="00BE302C">
        <w:rPr>
          <w:sz w:val="22"/>
          <w:szCs w:val="22"/>
        </w:rPr>
        <w:t xml:space="preserve"> </w:t>
      </w:r>
    </w:p>
    <w:p w14:paraId="52C06E67" w14:textId="5BA1448D" w:rsidR="000853ED" w:rsidRPr="00896687" w:rsidRDefault="00B46E6A" w:rsidP="00896687">
      <w:pPr>
        <w:spacing w:after="120" w:line="240" w:lineRule="auto"/>
        <w:ind w:left="180" w:right="360"/>
        <w:rPr>
          <w:rFonts w:ascii="Comic Sans MS" w:hAnsi="Comic Sans MS"/>
        </w:rPr>
      </w:pPr>
      <w:r w:rsidRPr="00F1473D">
        <w:rPr>
          <w:rFonts w:ascii="Comic Sans MS" w:hAnsi="Comic Sans MS"/>
        </w:rPr>
        <w:t xml:space="preserve">After a quick review of the course structure, I introduce </w:t>
      </w:r>
      <w:r w:rsidR="00FF3FC8" w:rsidRPr="00F1473D">
        <w:rPr>
          <w:rFonts w:ascii="Comic Sans MS" w:hAnsi="Comic Sans MS"/>
        </w:rPr>
        <w:t xml:space="preserve">Environmental, Social and Governance investing in </w:t>
      </w:r>
      <w:r w:rsidR="000853ED">
        <w:rPr>
          <w:rFonts w:ascii="Comic Sans MS" w:hAnsi="Comic Sans MS"/>
        </w:rPr>
        <w:t xml:space="preserve">public </w:t>
      </w:r>
      <w:r w:rsidR="00FF3FC8" w:rsidRPr="00F1473D">
        <w:rPr>
          <w:rFonts w:ascii="Comic Sans MS" w:hAnsi="Comic Sans MS"/>
        </w:rPr>
        <w:t xml:space="preserve">Equity Markets.  </w:t>
      </w:r>
      <w:r w:rsidR="00F86C3A" w:rsidRPr="00F1473D">
        <w:rPr>
          <w:rFonts w:ascii="Comic Sans MS" w:hAnsi="Comic Sans MS"/>
        </w:rPr>
        <w:t>I</w:t>
      </w:r>
      <w:r w:rsidR="00FF3FC8" w:rsidRPr="00F1473D">
        <w:rPr>
          <w:rFonts w:ascii="Comic Sans MS" w:hAnsi="Comic Sans MS"/>
        </w:rPr>
        <w:t xml:space="preserve"> then provide some historical perspective on how this process began </w:t>
      </w:r>
      <w:r w:rsidR="006E33E4" w:rsidRPr="00F1473D">
        <w:rPr>
          <w:rFonts w:ascii="Comic Sans MS" w:hAnsi="Comic Sans MS"/>
        </w:rPr>
        <w:t xml:space="preserve">and </w:t>
      </w:r>
      <w:r w:rsidR="00FF3FC8" w:rsidRPr="00F1473D">
        <w:rPr>
          <w:rFonts w:ascii="Comic Sans MS" w:hAnsi="Comic Sans MS"/>
        </w:rPr>
        <w:t xml:space="preserve">the </w:t>
      </w:r>
      <w:r w:rsidR="006E33E4" w:rsidRPr="00F1473D">
        <w:rPr>
          <w:rFonts w:ascii="Comic Sans MS" w:hAnsi="Comic Sans MS"/>
        </w:rPr>
        <w:t>current size of the asset base following ESG guidelines.</w:t>
      </w:r>
      <w:r w:rsidR="004B3F14" w:rsidRPr="00F1473D">
        <w:rPr>
          <w:rFonts w:ascii="Comic Sans MS" w:hAnsi="Comic Sans MS"/>
        </w:rPr>
        <w:t xml:space="preserve"> </w:t>
      </w:r>
    </w:p>
    <w:p w14:paraId="3B583D62" w14:textId="77777777" w:rsidR="00337ED9" w:rsidRDefault="00337ED9" w:rsidP="0078416A">
      <w:pPr>
        <w:pStyle w:val="BodyText2"/>
        <w:ind w:left="180" w:right="360" w:firstLine="0"/>
        <w:rPr>
          <w:sz w:val="22"/>
          <w:szCs w:val="22"/>
        </w:rPr>
      </w:pPr>
    </w:p>
    <w:p w14:paraId="5F2679E0" w14:textId="2ECA47B8" w:rsidR="00896687" w:rsidRDefault="00AC7DDA" w:rsidP="00896687">
      <w:pPr>
        <w:pStyle w:val="BodyText2"/>
        <w:numPr>
          <w:ilvl w:val="0"/>
          <w:numId w:val="25"/>
        </w:numPr>
        <w:ind w:left="180" w:right="360" w:firstLine="0"/>
        <w:rPr>
          <w:sz w:val="22"/>
          <w:szCs w:val="22"/>
        </w:rPr>
      </w:pPr>
      <w:r w:rsidRPr="00F76460">
        <w:rPr>
          <w:sz w:val="22"/>
          <w:szCs w:val="22"/>
        </w:rPr>
        <w:t>How Companies are Rated on ESG Factors</w:t>
      </w:r>
      <w:r w:rsidR="00330BB5" w:rsidRPr="00F76460">
        <w:rPr>
          <w:sz w:val="22"/>
          <w:szCs w:val="22"/>
        </w:rPr>
        <w:t xml:space="preserve"> (1</w:t>
      </w:r>
      <w:r w:rsidR="00707A1B" w:rsidRPr="00F76460">
        <w:rPr>
          <w:sz w:val="22"/>
          <w:szCs w:val="22"/>
        </w:rPr>
        <w:t>0</w:t>
      </w:r>
      <w:r w:rsidR="00330BB5" w:rsidRPr="00F76460">
        <w:rPr>
          <w:sz w:val="22"/>
          <w:szCs w:val="22"/>
        </w:rPr>
        <w:t>/</w:t>
      </w:r>
      <w:r w:rsidR="00707A1B" w:rsidRPr="00F76460">
        <w:rPr>
          <w:sz w:val="22"/>
          <w:szCs w:val="22"/>
        </w:rPr>
        <w:t>2</w:t>
      </w:r>
      <w:r w:rsidR="0055401C">
        <w:rPr>
          <w:sz w:val="22"/>
          <w:szCs w:val="22"/>
        </w:rPr>
        <w:t>6</w:t>
      </w:r>
      <w:r w:rsidR="00330BB5" w:rsidRPr="00F76460">
        <w:rPr>
          <w:sz w:val="22"/>
          <w:szCs w:val="22"/>
        </w:rPr>
        <w:t>)</w:t>
      </w:r>
    </w:p>
    <w:p w14:paraId="4C2F9A6D" w14:textId="6B25721D" w:rsidR="00873FCA" w:rsidRDefault="00896687" w:rsidP="00896687">
      <w:pPr>
        <w:pStyle w:val="BodyText2"/>
        <w:ind w:left="180" w:right="360" w:firstLine="0"/>
        <w:rPr>
          <w:sz w:val="22"/>
          <w:szCs w:val="22"/>
        </w:rPr>
      </w:pPr>
      <w:r w:rsidRPr="00800B7A">
        <w:rPr>
          <w:sz w:val="22"/>
          <w:szCs w:val="22"/>
        </w:rPr>
        <w:t>We start the class with a discussion of the “On Climate and Conscious” article.  Then</w:t>
      </w:r>
      <w:r w:rsidR="00AC7DDA" w:rsidRPr="00800B7A">
        <w:rPr>
          <w:sz w:val="22"/>
          <w:szCs w:val="22"/>
        </w:rPr>
        <w:t xml:space="preserve"> we </w:t>
      </w:r>
      <w:r w:rsidR="00524C59" w:rsidRPr="00800B7A">
        <w:rPr>
          <w:sz w:val="22"/>
          <w:szCs w:val="22"/>
        </w:rPr>
        <w:t>compare</w:t>
      </w:r>
      <w:r w:rsidR="00500EAD" w:rsidRPr="00800B7A">
        <w:rPr>
          <w:sz w:val="22"/>
          <w:szCs w:val="22"/>
        </w:rPr>
        <w:t xml:space="preserve"> the different methods used to classify </w:t>
      </w:r>
      <w:r w:rsidR="00FF3FC8" w:rsidRPr="00800B7A">
        <w:rPr>
          <w:sz w:val="22"/>
          <w:szCs w:val="22"/>
        </w:rPr>
        <w:t>companies according to ESG standards</w:t>
      </w:r>
      <w:r w:rsidR="003D4FD0" w:rsidRPr="00800B7A">
        <w:rPr>
          <w:sz w:val="22"/>
          <w:szCs w:val="22"/>
        </w:rPr>
        <w:t xml:space="preserve">. </w:t>
      </w:r>
      <w:r w:rsidR="00FF3FC8" w:rsidRPr="00800B7A">
        <w:rPr>
          <w:sz w:val="22"/>
          <w:szCs w:val="22"/>
        </w:rPr>
        <w:t xml:space="preserve"> </w:t>
      </w:r>
      <w:r w:rsidR="00A51EDB" w:rsidRPr="00800B7A">
        <w:rPr>
          <w:sz w:val="22"/>
          <w:szCs w:val="22"/>
        </w:rPr>
        <w:t xml:space="preserve">Included in our discussion is </w:t>
      </w:r>
      <w:r w:rsidR="000A64E4" w:rsidRPr="00800B7A">
        <w:rPr>
          <w:sz w:val="22"/>
          <w:szCs w:val="22"/>
        </w:rPr>
        <w:t>a</w:t>
      </w:r>
      <w:r w:rsidR="00A51EDB" w:rsidRPr="00800B7A">
        <w:rPr>
          <w:sz w:val="22"/>
          <w:szCs w:val="22"/>
        </w:rPr>
        <w:t xml:space="preserve"> review of </w:t>
      </w:r>
      <w:r w:rsidR="00A172B3" w:rsidRPr="00800B7A">
        <w:rPr>
          <w:sz w:val="22"/>
          <w:szCs w:val="22"/>
        </w:rPr>
        <w:t>three</w:t>
      </w:r>
      <w:r w:rsidR="00524C59" w:rsidRPr="00800B7A">
        <w:rPr>
          <w:sz w:val="22"/>
          <w:szCs w:val="22"/>
        </w:rPr>
        <w:t xml:space="preserve"> companies using the MSCI methodology</w:t>
      </w:r>
    </w:p>
    <w:p w14:paraId="1697A059" w14:textId="77777777" w:rsidR="00800B7A" w:rsidRPr="00800B7A" w:rsidRDefault="00800B7A" w:rsidP="00896687">
      <w:pPr>
        <w:pStyle w:val="BodyText2"/>
        <w:ind w:left="180" w:right="360" w:firstLine="0"/>
        <w:rPr>
          <w:sz w:val="22"/>
          <w:szCs w:val="22"/>
        </w:rPr>
      </w:pPr>
    </w:p>
    <w:p w14:paraId="594432D2" w14:textId="2784B47A" w:rsidR="00667B15" w:rsidRDefault="00C15C73" w:rsidP="0078416A">
      <w:pPr>
        <w:spacing w:after="0" w:line="240" w:lineRule="auto"/>
        <w:ind w:left="180" w:right="360"/>
        <w:rPr>
          <w:rFonts w:ascii="Comic Sans MS" w:hAnsi="Comic Sans MS"/>
        </w:rPr>
      </w:pPr>
      <w:r w:rsidRPr="00F1473D">
        <w:rPr>
          <w:rFonts w:ascii="Comic Sans MS" w:hAnsi="Comic Sans MS"/>
        </w:rPr>
        <w:t>Rea</w:t>
      </w:r>
      <w:r w:rsidR="00AC7DDA">
        <w:rPr>
          <w:rFonts w:ascii="Comic Sans MS" w:hAnsi="Comic Sans MS"/>
        </w:rPr>
        <w:t>dings:</w:t>
      </w:r>
    </w:p>
    <w:p w14:paraId="290C80EB" w14:textId="5E4D456A" w:rsidR="00896687" w:rsidRPr="00800B7A" w:rsidRDefault="001114E9" w:rsidP="00D81204">
      <w:pPr>
        <w:pStyle w:val="ListParagraph"/>
        <w:numPr>
          <w:ilvl w:val="0"/>
          <w:numId w:val="15"/>
        </w:numPr>
        <w:spacing w:after="0" w:line="240" w:lineRule="auto"/>
        <w:ind w:right="360" w:hanging="540"/>
        <w:rPr>
          <w:rFonts w:ascii="Comic Sans MS" w:hAnsi="Comic Sans MS"/>
        </w:rPr>
      </w:pPr>
      <w:hyperlink r:id="rId9" w:history="1">
        <w:r w:rsidR="00896687" w:rsidRPr="00800B7A">
          <w:rPr>
            <w:rStyle w:val="Hyperlink"/>
            <w:rFonts w:ascii="Comic Sans MS" w:hAnsi="Comic Sans MS"/>
          </w:rPr>
          <w:t>On Climate and Conscious</w:t>
        </w:r>
      </w:hyperlink>
      <w:r w:rsidR="00896687" w:rsidRPr="00800B7A">
        <w:rPr>
          <w:rFonts w:ascii="Comic Sans MS" w:hAnsi="Comic Sans MS"/>
        </w:rPr>
        <w:t xml:space="preserve"> (Blair)</w:t>
      </w:r>
    </w:p>
    <w:p w14:paraId="285E795C" w14:textId="77777777" w:rsidR="006D5BC9" w:rsidRPr="00F1473D" w:rsidRDefault="001114E9" w:rsidP="0078416A">
      <w:pPr>
        <w:pStyle w:val="BodyText2"/>
        <w:numPr>
          <w:ilvl w:val="0"/>
          <w:numId w:val="15"/>
        </w:numPr>
        <w:ind w:left="180" w:right="360" w:firstLine="0"/>
        <w:rPr>
          <w:sz w:val="22"/>
          <w:szCs w:val="22"/>
        </w:rPr>
      </w:pPr>
      <w:hyperlink r:id="rId10" w:history="1">
        <w:r w:rsidR="00F82964" w:rsidRPr="00A62455">
          <w:rPr>
            <w:rStyle w:val="Hyperlink"/>
            <w:sz w:val="22"/>
            <w:szCs w:val="22"/>
          </w:rPr>
          <w:t>Four Things No One Will Tell You About ESG Data</w:t>
        </w:r>
      </w:hyperlink>
      <w:r w:rsidR="00945597" w:rsidRPr="00F1473D">
        <w:rPr>
          <w:sz w:val="22"/>
          <w:szCs w:val="22"/>
        </w:rPr>
        <w:t xml:space="preserve"> (</w:t>
      </w:r>
      <w:proofErr w:type="spellStart"/>
      <w:r w:rsidR="00945597" w:rsidRPr="00F1473D">
        <w:rPr>
          <w:sz w:val="22"/>
          <w:szCs w:val="22"/>
        </w:rPr>
        <w:t>Kotsantonis</w:t>
      </w:r>
      <w:proofErr w:type="spellEnd"/>
      <w:r w:rsidR="00945597" w:rsidRPr="00F1473D">
        <w:rPr>
          <w:sz w:val="22"/>
          <w:szCs w:val="22"/>
        </w:rPr>
        <w:t xml:space="preserve">, </w:t>
      </w:r>
      <w:proofErr w:type="spellStart"/>
      <w:r w:rsidR="00945597" w:rsidRPr="00F1473D">
        <w:rPr>
          <w:sz w:val="22"/>
          <w:szCs w:val="22"/>
        </w:rPr>
        <w:t>Serafeim</w:t>
      </w:r>
      <w:proofErr w:type="spellEnd"/>
      <w:r w:rsidR="00945597" w:rsidRPr="00F1473D">
        <w:rPr>
          <w:sz w:val="22"/>
          <w:szCs w:val="22"/>
        </w:rPr>
        <w:t>)</w:t>
      </w:r>
    </w:p>
    <w:p w14:paraId="4B627472" w14:textId="77777777" w:rsidR="003C4EEB" w:rsidRPr="00F1473D" w:rsidRDefault="001114E9" w:rsidP="0078416A">
      <w:pPr>
        <w:pStyle w:val="BodyText2"/>
        <w:numPr>
          <w:ilvl w:val="0"/>
          <w:numId w:val="15"/>
        </w:numPr>
        <w:ind w:left="180" w:right="360" w:firstLine="0"/>
        <w:rPr>
          <w:sz w:val="22"/>
          <w:szCs w:val="22"/>
        </w:rPr>
      </w:pPr>
      <w:hyperlink r:id="rId11" w:history="1">
        <w:r w:rsidR="003C4EEB" w:rsidRPr="00A62455">
          <w:rPr>
            <w:rStyle w:val="Hyperlink"/>
            <w:sz w:val="22"/>
            <w:szCs w:val="22"/>
          </w:rPr>
          <w:t xml:space="preserve">The Devil is in the Details </w:t>
        </w:r>
      </w:hyperlink>
      <w:r w:rsidR="003C4EEB" w:rsidRPr="00F1473D">
        <w:rPr>
          <w:sz w:val="22"/>
          <w:szCs w:val="22"/>
        </w:rPr>
        <w:t>(</w:t>
      </w:r>
      <w:proofErr w:type="spellStart"/>
      <w:r w:rsidR="003C4EEB" w:rsidRPr="00F1473D">
        <w:rPr>
          <w:sz w:val="22"/>
          <w:szCs w:val="22"/>
        </w:rPr>
        <w:t>LaBella</w:t>
      </w:r>
      <w:proofErr w:type="spellEnd"/>
      <w:r w:rsidR="003C4EEB" w:rsidRPr="00F1473D">
        <w:rPr>
          <w:sz w:val="22"/>
          <w:szCs w:val="22"/>
        </w:rPr>
        <w:t>, Sullivan, Russell, Novikov)</w:t>
      </w:r>
    </w:p>
    <w:p w14:paraId="1B1A11D5" w14:textId="7D12E4A9" w:rsidR="003E0B5E" w:rsidRDefault="001114E9" w:rsidP="0078416A">
      <w:pPr>
        <w:pStyle w:val="BodyText2"/>
        <w:numPr>
          <w:ilvl w:val="0"/>
          <w:numId w:val="15"/>
        </w:numPr>
        <w:ind w:left="180" w:right="360" w:firstLine="0"/>
        <w:rPr>
          <w:sz w:val="22"/>
          <w:szCs w:val="22"/>
        </w:rPr>
      </w:pPr>
      <w:hyperlink r:id="rId12" w:history="1">
        <w:r w:rsidR="001B62B0" w:rsidRPr="00A62455">
          <w:rPr>
            <w:rStyle w:val="Hyperlink"/>
            <w:sz w:val="22"/>
            <w:szCs w:val="22"/>
          </w:rPr>
          <w:t>MSCI ESG Ratings Methodology</w:t>
        </w:r>
      </w:hyperlink>
      <w:r w:rsidR="001B62B0" w:rsidRPr="00F1473D">
        <w:rPr>
          <w:sz w:val="22"/>
          <w:szCs w:val="22"/>
        </w:rPr>
        <w:t xml:space="preserve"> (MSCI)</w:t>
      </w:r>
    </w:p>
    <w:p w14:paraId="58DB18C3" w14:textId="6851C3EF" w:rsidR="00F858A6" w:rsidRDefault="00F858A6" w:rsidP="00F858A6">
      <w:pPr>
        <w:pStyle w:val="BodyText2"/>
        <w:ind w:right="360"/>
        <w:rPr>
          <w:sz w:val="22"/>
          <w:szCs w:val="22"/>
        </w:rPr>
      </w:pPr>
    </w:p>
    <w:p w14:paraId="6DD544A3" w14:textId="77777777" w:rsidR="00287588" w:rsidRDefault="00896687" w:rsidP="00896687">
      <w:pPr>
        <w:pStyle w:val="BodyText2"/>
        <w:ind w:left="180" w:right="360" w:firstLine="0"/>
        <w:rPr>
          <w:sz w:val="22"/>
          <w:szCs w:val="22"/>
        </w:rPr>
      </w:pPr>
      <w:r>
        <w:rPr>
          <w:sz w:val="22"/>
          <w:szCs w:val="22"/>
        </w:rPr>
        <w:t xml:space="preserve">Assignments: </w:t>
      </w:r>
    </w:p>
    <w:p w14:paraId="2C3275EB" w14:textId="6E7A888C" w:rsidR="00896687" w:rsidRDefault="00896687" w:rsidP="00896687">
      <w:pPr>
        <w:pStyle w:val="BodyText2"/>
        <w:ind w:left="180" w:right="360" w:firstLine="0"/>
        <w:rPr>
          <w:sz w:val="22"/>
          <w:szCs w:val="22"/>
        </w:rPr>
      </w:pPr>
      <w:r>
        <w:rPr>
          <w:sz w:val="22"/>
          <w:szCs w:val="22"/>
        </w:rPr>
        <w:t>Assignment 1 – On Climate and Conscious Questions (Type B)</w:t>
      </w:r>
    </w:p>
    <w:p w14:paraId="23D69286" w14:textId="77777777" w:rsidR="00F858A6" w:rsidRPr="00AC7DDA" w:rsidRDefault="00F858A6" w:rsidP="00896687">
      <w:pPr>
        <w:pStyle w:val="BodyText2"/>
        <w:ind w:left="0" w:right="360" w:firstLine="0"/>
        <w:rPr>
          <w:sz w:val="22"/>
          <w:szCs w:val="22"/>
        </w:rPr>
      </w:pPr>
    </w:p>
    <w:p w14:paraId="522AD8BE" w14:textId="77777777" w:rsidR="00F77B2F" w:rsidRPr="00F1473D" w:rsidRDefault="00F77B2F" w:rsidP="0078416A">
      <w:pPr>
        <w:pStyle w:val="BodyText2"/>
        <w:ind w:left="180" w:right="360" w:firstLine="0"/>
        <w:rPr>
          <w:sz w:val="22"/>
          <w:szCs w:val="22"/>
        </w:rPr>
      </w:pPr>
    </w:p>
    <w:p w14:paraId="68A37004" w14:textId="3577C6F8" w:rsidR="008D581E" w:rsidRPr="00287588" w:rsidRDefault="00F143C2" w:rsidP="00287588">
      <w:pPr>
        <w:pStyle w:val="ListParagraph"/>
        <w:keepNext/>
        <w:numPr>
          <w:ilvl w:val="0"/>
          <w:numId w:val="25"/>
        </w:numPr>
        <w:tabs>
          <w:tab w:val="left" w:pos="540"/>
        </w:tabs>
        <w:spacing w:after="120" w:line="240" w:lineRule="auto"/>
        <w:ind w:left="180" w:right="360" w:firstLine="0"/>
        <w:rPr>
          <w:rFonts w:ascii="Comic Sans MS" w:hAnsi="Comic Sans MS"/>
        </w:rPr>
      </w:pPr>
      <w:r w:rsidRPr="00F76460">
        <w:rPr>
          <w:rFonts w:ascii="Comic Sans MS" w:hAnsi="Comic Sans MS"/>
        </w:rPr>
        <w:t>Does ESG Investing Improve Return?</w:t>
      </w:r>
      <w:r w:rsidR="008941A6" w:rsidRPr="00F76460">
        <w:rPr>
          <w:rFonts w:ascii="Comic Sans MS" w:hAnsi="Comic Sans MS"/>
        </w:rPr>
        <w:t xml:space="preserve"> (</w:t>
      </w:r>
      <w:r w:rsidR="00330BB5" w:rsidRPr="00F76460">
        <w:rPr>
          <w:rFonts w:ascii="Comic Sans MS" w:hAnsi="Comic Sans MS"/>
        </w:rPr>
        <w:t>1</w:t>
      </w:r>
      <w:r w:rsidR="0055401C">
        <w:rPr>
          <w:rFonts w:ascii="Comic Sans MS" w:hAnsi="Comic Sans MS"/>
        </w:rPr>
        <w:t>0/31</w:t>
      </w:r>
      <w:r w:rsidR="00330BB5" w:rsidRPr="00F76460">
        <w:rPr>
          <w:rFonts w:ascii="Comic Sans MS" w:hAnsi="Comic Sans MS"/>
        </w:rPr>
        <w:t>)</w:t>
      </w:r>
      <w:r w:rsidR="00287588">
        <w:rPr>
          <w:rFonts w:ascii="Comic Sans MS" w:hAnsi="Comic Sans MS"/>
        </w:rPr>
        <w:br/>
      </w:r>
      <w:r w:rsidR="00B358BB" w:rsidRPr="00287588">
        <w:rPr>
          <w:rFonts w:ascii="Comic Sans MS" w:hAnsi="Comic Sans MS"/>
        </w:rPr>
        <w:t>In this class</w:t>
      </w:r>
      <w:r w:rsidR="00030C47" w:rsidRPr="00287588">
        <w:rPr>
          <w:rFonts w:ascii="Comic Sans MS" w:hAnsi="Comic Sans MS"/>
        </w:rPr>
        <w:t xml:space="preserve"> we discuss ESG portfolio performance. </w:t>
      </w:r>
      <w:r w:rsidRPr="00287588">
        <w:rPr>
          <w:rFonts w:ascii="Comic Sans MS" w:hAnsi="Comic Sans MS"/>
        </w:rPr>
        <w:t>Some investors argue that accounting for ESG considerations will improve risk-adjusted return in addition to allowing you to own a portfolio that better reflects your values.  In other words, you can do well by doing good</w:t>
      </w:r>
      <w:r w:rsidR="00030C47" w:rsidRPr="00287588">
        <w:rPr>
          <w:rFonts w:ascii="Comic Sans MS" w:hAnsi="Comic Sans MS"/>
        </w:rPr>
        <w:t xml:space="preserve">.  </w:t>
      </w:r>
      <w:r w:rsidR="00CE3F3B" w:rsidRPr="00287588">
        <w:rPr>
          <w:rFonts w:ascii="Comic Sans MS" w:hAnsi="Comic Sans MS"/>
        </w:rPr>
        <w:t xml:space="preserve">This class attempts to answer the question theoretically and empirically.  </w:t>
      </w:r>
      <w:r w:rsidR="00E65C09" w:rsidRPr="00287588">
        <w:rPr>
          <w:rFonts w:ascii="Comic Sans MS" w:hAnsi="Comic Sans MS"/>
        </w:rPr>
        <w:t xml:space="preserve"> </w:t>
      </w:r>
    </w:p>
    <w:p w14:paraId="610D31C0" w14:textId="77777777" w:rsidR="0078416A" w:rsidRDefault="00B46E6A" w:rsidP="0078416A">
      <w:pPr>
        <w:spacing w:after="120" w:line="240" w:lineRule="auto"/>
        <w:ind w:left="180" w:right="360"/>
        <w:rPr>
          <w:rFonts w:ascii="Comic Sans MS" w:hAnsi="Comic Sans MS"/>
        </w:rPr>
      </w:pPr>
      <w:r w:rsidRPr="00F1473D">
        <w:rPr>
          <w:rFonts w:ascii="Comic Sans MS" w:hAnsi="Comic Sans MS"/>
        </w:rPr>
        <w:t>Readings:</w:t>
      </w:r>
    </w:p>
    <w:p w14:paraId="523A8CF5" w14:textId="77777777" w:rsidR="009C27F4" w:rsidRPr="0078416A" w:rsidRDefault="001114E9" w:rsidP="0078416A">
      <w:pPr>
        <w:pStyle w:val="ListParagraph"/>
        <w:numPr>
          <w:ilvl w:val="0"/>
          <w:numId w:val="31"/>
        </w:numPr>
        <w:spacing w:after="120" w:line="240" w:lineRule="auto"/>
        <w:ind w:left="180" w:right="360" w:firstLine="0"/>
        <w:rPr>
          <w:rFonts w:ascii="Comic Sans MS" w:hAnsi="Comic Sans MS"/>
        </w:rPr>
      </w:pPr>
      <w:hyperlink r:id="rId13" w:history="1">
        <w:r w:rsidR="00B46E6A" w:rsidRPr="0078416A">
          <w:rPr>
            <w:rStyle w:val="Hyperlink"/>
            <w:rFonts w:ascii="Comic Sans MS" w:eastAsia="Times New Roman" w:hAnsi="Comic Sans MS" w:cs="Times New Roman"/>
          </w:rPr>
          <w:t>Sustainable Reality</w:t>
        </w:r>
      </w:hyperlink>
      <w:r w:rsidR="00B46E6A" w:rsidRPr="0078416A">
        <w:rPr>
          <w:rStyle w:val="Hyperlink"/>
          <w:rFonts w:ascii="Comic Sans MS" w:eastAsia="Times New Roman" w:hAnsi="Comic Sans MS" w:cs="Times New Roman"/>
        </w:rPr>
        <w:t xml:space="preserve"> </w:t>
      </w:r>
      <w:r w:rsidR="00B46E6A" w:rsidRPr="00CC0785">
        <w:rPr>
          <w:rFonts w:ascii="Comic Sans MS" w:hAnsi="Comic Sans MS"/>
        </w:rPr>
        <w:t>(Morgan Stanley)</w:t>
      </w:r>
    </w:p>
    <w:p w14:paraId="2B3E76A9" w14:textId="77777777" w:rsidR="007F3265" w:rsidRPr="00573A30" w:rsidRDefault="001114E9" w:rsidP="0078416A">
      <w:pPr>
        <w:pStyle w:val="BodyText2"/>
        <w:numPr>
          <w:ilvl w:val="0"/>
          <w:numId w:val="16"/>
        </w:numPr>
        <w:ind w:left="180" w:right="360" w:firstLine="0"/>
        <w:rPr>
          <w:rStyle w:val="Hyperlink"/>
          <w:color w:val="auto"/>
          <w:sz w:val="22"/>
          <w:szCs w:val="22"/>
          <w:u w:val="none"/>
        </w:rPr>
      </w:pPr>
      <w:hyperlink r:id="rId14" w:history="1">
        <w:r w:rsidR="007F3265" w:rsidRPr="00A62455">
          <w:rPr>
            <w:rStyle w:val="Hyperlink"/>
            <w:sz w:val="22"/>
            <w:szCs w:val="22"/>
          </w:rPr>
          <w:t>Morningstar's ESG-Screened Indexes Protect on the Downside</w:t>
        </w:r>
      </w:hyperlink>
    </w:p>
    <w:p w14:paraId="733813D4" w14:textId="51EF39B1" w:rsidR="00F76460" w:rsidRDefault="00F76460">
      <w:pPr>
        <w:rPr>
          <w:rFonts w:ascii="Comic Sans MS" w:eastAsia="Times New Roman" w:hAnsi="Comic Sans MS" w:cs="Times New Roman"/>
        </w:rPr>
      </w:pPr>
    </w:p>
    <w:p w14:paraId="500A85B3" w14:textId="77777777" w:rsidR="00C34460" w:rsidRDefault="00337ED9" w:rsidP="00BB03CD">
      <w:pPr>
        <w:pStyle w:val="BodyText2"/>
        <w:numPr>
          <w:ilvl w:val="0"/>
          <w:numId w:val="25"/>
        </w:numPr>
        <w:ind w:left="180" w:right="360" w:firstLine="0"/>
        <w:rPr>
          <w:sz w:val="22"/>
          <w:szCs w:val="22"/>
        </w:rPr>
      </w:pPr>
      <w:r w:rsidRPr="00F76460">
        <w:rPr>
          <w:sz w:val="22"/>
          <w:szCs w:val="22"/>
        </w:rPr>
        <w:t>The Role of the Sustainable Accounting Standards Board</w:t>
      </w:r>
      <w:r w:rsidR="00B358BB">
        <w:rPr>
          <w:sz w:val="22"/>
          <w:szCs w:val="22"/>
        </w:rPr>
        <w:t xml:space="preserve">/Innovations in </w:t>
      </w:r>
    </w:p>
    <w:p w14:paraId="495DB030" w14:textId="720AED29" w:rsidR="00337ED9" w:rsidRDefault="00C34460" w:rsidP="00C34460">
      <w:pPr>
        <w:pStyle w:val="BodyText2"/>
        <w:ind w:left="180" w:right="360" w:firstLine="0"/>
        <w:rPr>
          <w:sz w:val="22"/>
          <w:szCs w:val="22"/>
        </w:rPr>
      </w:pPr>
      <w:r>
        <w:rPr>
          <w:sz w:val="22"/>
          <w:szCs w:val="22"/>
        </w:rPr>
        <w:t xml:space="preserve">         </w:t>
      </w:r>
      <w:r w:rsidR="00B358BB">
        <w:rPr>
          <w:sz w:val="22"/>
          <w:szCs w:val="22"/>
        </w:rPr>
        <w:t>Climate Reporting</w:t>
      </w:r>
      <w:r w:rsidR="00337ED9" w:rsidRPr="00F76460">
        <w:rPr>
          <w:sz w:val="22"/>
          <w:szCs w:val="22"/>
        </w:rPr>
        <w:t xml:space="preserve"> (1</w:t>
      </w:r>
      <w:r w:rsidR="00707A1B" w:rsidRPr="00F76460">
        <w:rPr>
          <w:sz w:val="22"/>
          <w:szCs w:val="22"/>
        </w:rPr>
        <w:t>1</w:t>
      </w:r>
      <w:r w:rsidR="00337ED9" w:rsidRPr="00F76460">
        <w:rPr>
          <w:sz w:val="22"/>
          <w:szCs w:val="22"/>
        </w:rPr>
        <w:t>/</w:t>
      </w:r>
      <w:r w:rsidR="00707A1B" w:rsidRPr="00F76460">
        <w:rPr>
          <w:sz w:val="22"/>
          <w:szCs w:val="22"/>
        </w:rPr>
        <w:t>0</w:t>
      </w:r>
      <w:r w:rsidR="0055401C">
        <w:rPr>
          <w:sz w:val="22"/>
          <w:szCs w:val="22"/>
        </w:rPr>
        <w:t>2</w:t>
      </w:r>
      <w:r w:rsidR="00337ED9" w:rsidRPr="00F76460">
        <w:rPr>
          <w:sz w:val="22"/>
          <w:szCs w:val="22"/>
        </w:rPr>
        <w:t>)</w:t>
      </w:r>
    </w:p>
    <w:p w14:paraId="3481F371" w14:textId="2BBAF105" w:rsidR="00337ED9" w:rsidRPr="00287588" w:rsidRDefault="00B358BB" w:rsidP="00287588">
      <w:pPr>
        <w:keepNext/>
        <w:tabs>
          <w:tab w:val="left" w:pos="540"/>
        </w:tabs>
        <w:spacing w:after="120" w:line="240" w:lineRule="auto"/>
        <w:ind w:left="180" w:right="360"/>
        <w:rPr>
          <w:rFonts w:ascii="Comic Sans MS" w:hAnsi="Comic Sans MS"/>
        </w:rPr>
      </w:pPr>
      <w:r w:rsidRPr="00287588">
        <w:rPr>
          <w:rFonts w:ascii="Comic Sans MS" w:hAnsi="Comic Sans MS"/>
        </w:rPr>
        <w:t>A guest speaker who is</w:t>
      </w:r>
      <w:r w:rsidR="00337ED9" w:rsidRPr="00287588">
        <w:rPr>
          <w:rFonts w:ascii="Comic Sans MS" w:hAnsi="Comic Sans MS"/>
        </w:rPr>
        <w:t xml:space="preserve"> a member of the SASB Board will lead a discussion on the</w:t>
      </w:r>
      <w:r w:rsidR="00030C47" w:rsidRPr="00287588">
        <w:rPr>
          <w:rFonts w:ascii="Comic Sans MS" w:hAnsi="Comic Sans MS"/>
        </w:rPr>
        <w:t xml:space="preserve"> </w:t>
      </w:r>
      <w:r w:rsidR="00337ED9" w:rsidRPr="00287588">
        <w:rPr>
          <w:rFonts w:ascii="Comic Sans MS" w:hAnsi="Comic Sans MS"/>
        </w:rPr>
        <w:t xml:space="preserve">development </w:t>
      </w:r>
      <w:r w:rsidR="00030C47" w:rsidRPr="00287588">
        <w:rPr>
          <w:rFonts w:ascii="Comic Sans MS" w:hAnsi="Comic Sans MS"/>
        </w:rPr>
        <w:t xml:space="preserve">of </w:t>
      </w:r>
      <w:r w:rsidR="00337ED9" w:rsidRPr="00287588">
        <w:rPr>
          <w:rFonts w:ascii="Comic Sans MS" w:hAnsi="Comic Sans MS"/>
        </w:rPr>
        <w:t>accounting standards to measure material exposures a company has to Environmental, Social and Governance Factors.</w:t>
      </w:r>
    </w:p>
    <w:p w14:paraId="3DBD2143" w14:textId="1BB1D604" w:rsidR="009212E9" w:rsidRDefault="009212E9" w:rsidP="00B358BB">
      <w:pPr>
        <w:pStyle w:val="BodyText2"/>
        <w:ind w:left="180" w:right="360" w:firstLine="0"/>
        <w:rPr>
          <w:sz w:val="22"/>
          <w:szCs w:val="22"/>
        </w:rPr>
      </w:pPr>
    </w:p>
    <w:p w14:paraId="106C26A8" w14:textId="34398B1D" w:rsidR="009212E9" w:rsidRPr="009212E9" w:rsidRDefault="009212E9" w:rsidP="009212E9">
      <w:pPr>
        <w:keepNext/>
        <w:tabs>
          <w:tab w:val="left" w:pos="540"/>
        </w:tabs>
        <w:spacing w:after="120" w:line="240" w:lineRule="auto"/>
        <w:ind w:left="180" w:right="360"/>
        <w:rPr>
          <w:rFonts w:ascii="Comic Sans MS" w:hAnsi="Comic Sans MS"/>
        </w:rPr>
      </w:pPr>
      <w:r>
        <w:rPr>
          <w:rFonts w:ascii="Comic Sans MS" w:hAnsi="Comic Sans MS"/>
        </w:rPr>
        <w:lastRenderedPageBreak/>
        <w:t>Toward the end of the class,</w:t>
      </w:r>
      <w:r w:rsidRPr="000A7099">
        <w:rPr>
          <w:rFonts w:ascii="Comic Sans MS" w:hAnsi="Comic Sans MS"/>
        </w:rPr>
        <w:t xml:space="preserve"> </w:t>
      </w:r>
      <w:r>
        <w:rPr>
          <w:rFonts w:ascii="Comic Sans MS" w:hAnsi="Comic Sans MS"/>
        </w:rPr>
        <w:t>a second guest speaker</w:t>
      </w:r>
      <w:r w:rsidRPr="000A7099">
        <w:rPr>
          <w:rFonts w:ascii="Comic Sans MS" w:hAnsi="Comic Sans MS"/>
        </w:rPr>
        <w:t xml:space="preserve"> on the work they have done on rating companies on Climate Solution</w:t>
      </w:r>
      <w:r>
        <w:rPr>
          <w:rFonts w:ascii="Comic Sans MS" w:hAnsi="Comic Sans MS"/>
        </w:rPr>
        <w:t>s</w:t>
      </w:r>
    </w:p>
    <w:p w14:paraId="786506F9" w14:textId="77777777" w:rsidR="00337ED9" w:rsidRDefault="00337ED9" w:rsidP="0078416A">
      <w:pPr>
        <w:pStyle w:val="BodyText2"/>
        <w:ind w:left="180" w:right="360" w:firstLine="0"/>
        <w:rPr>
          <w:sz w:val="22"/>
          <w:szCs w:val="22"/>
        </w:rPr>
      </w:pPr>
    </w:p>
    <w:p w14:paraId="56C975E4" w14:textId="35D7A8B8" w:rsidR="00573A30" w:rsidRPr="00F1473D" w:rsidRDefault="00337ED9" w:rsidP="0078416A">
      <w:pPr>
        <w:pStyle w:val="BodyText2"/>
        <w:ind w:left="180" w:right="360" w:firstLine="0"/>
        <w:rPr>
          <w:sz w:val="22"/>
          <w:szCs w:val="22"/>
        </w:rPr>
      </w:pPr>
      <w:r w:rsidRPr="00F1473D">
        <w:rPr>
          <w:sz w:val="22"/>
          <w:szCs w:val="22"/>
        </w:rPr>
        <w:t>Guest Speaker</w:t>
      </w:r>
      <w:r w:rsidR="00B358BB">
        <w:rPr>
          <w:sz w:val="22"/>
          <w:szCs w:val="22"/>
        </w:rPr>
        <w:t>s: t/b/d</w:t>
      </w:r>
    </w:p>
    <w:p w14:paraId="09BC9A5A" w14:textId="77777777" w:rsidR="00337ED9" w:rsidRDefault="00337ED9" w:rsidP="0078416A">
      <w:pPr>
        <w:pStyle w:val="BodyText2"/>
        <w:ind w:left="180" w:right="360" w:firstLine="0"/>
        <w:rPr>
          <w:sz w:val="22"/>
          <w:szCs w:val="22"/>
        </w:rPr>
      </w:pPr>
    </w:p>
    <w:p w14:paraId="237A1F1A" w14:textId="77777777" w:rsidR="00F76460" w:rsidRDefault="00F76460" w:rsidP="00F76460">
      <w:pPr>
        <w:pStyle w:val="BodyText2"/>
        <w:ind w:left="180" w:right="360" w:firstLine="0"/>
        <w:rPr>
          <w:sz w:val="22"/>
          <w:szCs w:val="22"/>
        </w:rPr>
      </w:pPr>
      <w:r>
        <w:rPr>
          <w:sz w:val="22"/>
          <w:szCs w:val="22"/>
        </w:rPr>
        <w:t xml:space="preserve">Readings: </w:t>
      </w:r>
    </w:p>
    <w:p w14:paraId="1F07E8F6" w14:textId="596A11E3" w:rsidR="00337ED9" w:rsidRPr="006C3873" w:rsidRDefault="001114E9" w:rsidP="005F35C7">
      <w:pPr>
        <w:pStyle w:val="BodyText2"/>
        <w:numPr>
          <w:ilvl w:val="0"/>
          <w:numId w:val="16"/>
        </w:numPr>
        <w:ind w:left="180" w:right="360" w:firstLine="0"/>
        <w:rPr>
          <w:rStyle w:val="Hyperlink"/>
          <w:color w:val="auto"/>
          <w:sz w:val="22"/>
          <w:szCs w:val="22"/>
          <w:u w:val="none"/>
        </w:rPr>
      </w:pPr>
      <w:hyperlink r:id="rId15" w:history="1">
        <w:r w:rsidR="00337ED9" w:rsidRPr="00586EA0">
          <w:rPr>
            <w:rStyle w:val="Hyperlink"/>
            <w:sz w:val="22"/>
            <w:szCs w:val="22"/>
          </w:rPr>
          <w:t>Netfli</w:t>
        </w:r>
        <w:r w:rsidR="005C284C" w:rsidRPr="00586EA0">
          <w:rPr>
            <w:rStyle w:val="Hyperlink"/>
            <w:sz w:val="22"/>
            <w:szCs w:val="22"/>
          </w:rPr>
          <w:t>x</w:t>
        </w:r>
        <w:r w:rsidR="00337ED9" w:rsidRPr="00586EA0">
          <w:rPr>
            <w:rStyle w:val="Hyperlink"/>
            <w:sz w:val="22"/>
            <w:szCs w:val="22"/>
          </w:rPr>
          <w:t xml:space="preserve"> Report</w:t>
        </w:r>
      </w:hyperlink>
    </w:p>
    <w:p w14:paraId="553D10FF" w14:textId="3CDCC15C" w:rsidR="006C3873" w:rsidRPr="009212E9" w:rsidRDefault="006C3873" w:rsidP="005F35C7">
      <w:pPr>
        <w:pStyle w:val="BodyText2"/>
        <w:numPr>
          <w:ilvl w:val="0"/>
          <w:numId w:val="16"/>
        </w:numPr>
        <w:ind w:left="180" w:right="360" w:firstLine="0"/>
        <w:rPr>
          <w:rStyle w:val="Hyperlink"/>
          <w:color w:val="auto"/>
          <w:sz w:val="22"/>
          <w:szCs w:val="22"/>
          <w:u w:val="none"/>
        </w:rPr>
      </w:pPr>
      <w:r>
        <w:rPr>
          <w:rStyle w:val="Hyperlink"/>
          <w:sz w:val="22"/>
          <w:szCs w:val="22"/>
        </w:rPr>
        <w:t>Article on SEC Climate Change Reporting</w:t>
      </w:r>
    </w:p>
    <w:p w14:paraId="77B52A20" w14:textId="7C1E11A5" w:rsidR="00496D83" w:rsidRDefault="00496D83" w:rsidP="009212E9">
      <w:pPr>
        <w:pStyle w:val="BodyText2"/>
        <w:ind w:left="0" w:right="360" w:firstLine="0"/>
        <w:rPr>
          <w:rStyle w:val="Hyperlink"/>
          <w:sz w:val="22"/>
          <w:szCs w:val="22"/>
        </w:rPr>
      </w:pPr>
    </w:p>
    <w:p w14:paraId="5F59B33D" w14:textId="77777777" w:rsidR="00D81204" w:rsidRDefault="00D81204" w:rsidP="00496D83">
      <w:pPr>
        <w:pStyle w:val="BodyText2"/>
        <w:ind w:left="180" w:right="360" w:firstLine="0"/>
        <w:rPr>
          <w:rStyle w:val="Hyperlink"/>
          <w:sz w:val="22"/>
          <w:szCs w:val="22"/>
        </w:rPr>
      </w:pPr>
    </w:p>
    <w:p w14:paraId="2897E93E" w14:textId="53CFA0D3" w:rsidR="00496D83" w:rsidRPr="00287588" w:rsidRDefault="00496D83" w:rsidP="00496D83">
      <w:pPr>
        <w:pStyle w:val="BodyText2"/>
        <w:ind w:left="180" w:right="360" w:firstLine="0"/>
        <w:rPr>
          <w:sz w:val="22"/>
          <w:szCs w:val="22"/>
        </w:rPr>
      </w:pPr>
      <w:r w:rsidRPr="00287588">
        <w:rPr>
          <w:rStyle w:val="Hyperlink"/>
          <w:color w:val="auto"/>
          <w:sz w:val="22"/>
          <w:szCs w:val="22"/>
        </w:rPr>
        <w:t>SECTION 2 – Best Practices in Asset Management</w:t>
      </w:r>
    </w:p>
    <w:p w14:paraId="0D80E7E8" w14:textId="77777777" w:rsidR="0091022E" w:rsidRDefault="0091022E" w:rsidP="0078416A">
      <w:pPr>
        <w:pStyle w:val="BodyText2"/>
        <w:ind w:left="180" w:right="360" w:firstLine="0"/>
        <w:rPr>
          <w:sz w:val="22"/>
          <w:szCs w:val="22"/>
        </w:rPr>
      </w:pPr>
    </w:p>
    <w:p w14:paraId="254D6E26" w14:textId="1878C75B" w:rsidR="0091022E" w:rsidRDefault="0091022E" w:rsidP="0078416A">
      <w:pPr>
        <w:pStyle w:val="BodyText2"/>
        <w:numPr>
          <w:ilvl w:val="0"/>
          <w:numId w:val="25"/>
        </w:numPr>
        <w:ind w:left="180" w:right="360" w:firstLine="0"/>
        <w:rPr>
          <w:sz w:val="22"/>
          <w:szCs w:val="22"/>
        </w:rPr>
      </w:pPr>
      <w:r>
        <w:rPr>
          <w:sz w:val="22"/>
          <w:szCs w:val="22"/>
        </w:rPr>
        <w:t>Case Study: Generation Investment Management</w:t>
      </w:r>
      <w:r w:rsidR="00AD7B21">
        <w:rPr>
          <w:sz w:val="22"/>
          <w:szCs w:val="22"/>
        </w:rPr>
        <w:t xml:space="preserve"> (11/</w:t>
      </w:r>
      <w:r w:rsidR="0055401C">
        <w:rPr>
          <w:sz w:val="22"/>
          <w:szCs w:val="22"/>
        </w:rPr>
        <w:t>09</w:t>
      </w:r>
      <w:r w:rsidR="00AD7B21">
        <w:rPr>
          <w:sz w:val="22"/>
          <w:szCs w:val="22"/>
        </w:rPr>
        <w:t>)</w:t>
      </w:r>
    </w:p>
    <w:p w14:paraId="26876A7E" w14:textId="77777777" w:rsidR="0091022E" w:rsidRDefault="0091022E" w:rsidP="00F76460">
      <w:pPr>
        <w:pStyle w:val="BodyText2"/>
        <w:ind w:left="180" w:right="360" w:firstLine="0"/>
        <w:rPr>
          <w:sz w:val="22"/>
          <w:szCs w:val="22"/>
        </w:rPr>
      </w:pPr>
      <w:r>
        <w:rPr>
          <w:sz w:val="22"/>
          <w:szCs w:val="22"/>
        </w:rPr>
        <w:t>Generation Investment Management, founded by Al Gore and David Blood</w:t>
      </w:r>
      <w:r w:rsidR="005A716B">
        <w:rPr>
          <w:sz w:val="22"/>
          <w:szCs w:val="22"/>
        </w:rPr>
        <w:t>,</w:t>
      </w:r>
      <w:r>
        <w:rPr>
          <w:sz w:val="22"/>
          <w:szCs w:val="22"/>
        </w:rPr>
        <w:t xml:space="preserve"> was one of the first investment managers that believed it could generate superior financial returns by investing in sustainable companies that created long-term value for society.</w:t>
      </w:r>
    </w:p>
    <w:p w14:paraId="340D3093" w14:textId="77777777" w:rsidR="0091022E" w:rsidRDefault="0091022E" w:rsidP="0078416A">
      <w:pPr>
        <w:pStyle w:val="BodyText2"/>
        <w:ind w:left="180" w:right="360" w:firstLine="0"/>
        <w:rPr>
          <w:sz w:val="22"/>
          <w:szCs w:val="22"/>
        </w:rPr>
      </w:pPr>
    </w:p>
    <w:p w14:paraId="790D5835" w14:textId="77777777" w:rsidR="0091022E" w:rsidRDefault="0091022E" w:rsidP="0078416A">
      <w:pPr>
        <w:pStyle w:val="BodyText2"/>
        <w:ind w:left="180" w:right="360" w:firstLine="0"/>
        <w:rPr>
          <w:sz w:val="22"/>
          <w:szCs w:val="22"/>
        </w:rPr>
      </w:pPr>
      <w:r>
        <w:rPr>
          <w:sz w:val="22"/>
          <w:szCs w:val="22"/>
        </w:rPr>
        <w:t xml:space="preserve">In </w:t>
      </w:r>
      <w:r w:rsidR="005A716B">
        <w:rPr>
          <w:sz w:val="22"/>
          <w:szCs w:val="22"/>
        </w:rPr>
        <w:t xml:space="preserve">discussing the case, we review </w:t>
      </w:r>
      <w:r>
        <w:rPr>
          <w:sz w:val="22"/>
          <w:szCs w:val="22"/>
        </w:rPr>
        <w:t xml:space="preserve">their mission and </w:t>
      </w:r>
      <w:r w:rsidR="005A716B">
        <w:rPr>
          <w:sz w:val="22"/>
          <w:szCs w:val="22"/>
        </w:rPr>
        <w:t>investment approach</w:t>
      </w:r>
      <w:r>
        <w:rPr>
          <w:sz w:val="22"/>
          <w:szCs w:val="22"/>
        </w:rPr>
        <w:t xml:space="preserve"> with a focus on one of their holdings, John Deere, Inc.</w:t>
      </w:r>
    </w:p>
    <w:p w14:paraId="0FFDDD2C" w14:textId="77777777" w:rsidR="0091022E" w:rsidRDefault="0091022E" w:rsidP="0078416A">
      <w:pPr>
        <w:pStyle w:val="BodyText2"/>
        <w:ind w:left="180" w:right="360" w:firstLine="0"/>
        <w:rPr>
          <w:sz w:val="22"/>
          <w:szCs w:val="22"/>
        </w:rPr>
      </w:pPr>
    </w:p>
    <w:p w14:paraId="191A9476" w14:textId="77777777" w:rsidR="0091022E" w:rsidRDefault="0091022E" w:rsidP="0078416A">
      <w:pPr>
        <w:pStyle w:val="BodyText2"/>
        <w:ind w:left="180" w:right="360" w:firstLine="0"/>
        <w:rPr>
          <w:sz w:val="22"/>
          <w:szCs w:val="22"/>
        </w:rPr>
      </w:pPr>
      <w:r>
        <w:rPr>
          <w:sz w:val="22"/>
          <w:szCs w:val="22"/>
        </w:rPr>
        <w:t>Readings:</w:t>
      </w:r>
    </w:p>
    <w:p w14:paraId="2BBE448A" w14:textId="73AEDCA6" w:rsidR="0091022E" w:rsidRPr="00586EA0" w:rsidRDefault="001114E9" w:rsidP="0078416A">
      <w:pPr>
        <w:pStyle w:val="BodyText2"/>
        <w:numPr>
          <w:ilvl w:val="0"/>
          <w:numId w:val="16"/>
        </w:numPr>
        <w:ind w:left="180" w:right="360" w:firstLine="0"/>
        <w:rPr>
          <w:sz w:val="22"/>
          <w:szCs w:val="22"/>
        </w:rPr>
      </w:pPr>
      <w:hyperlink r:id="rId16" w:history="1">
        <w:r w:rsidR="0091022E" w:rsidRPr="00586EA0">
          <w:rPr>
            <w:rStyle w:val="Hyperlink"/>
            <w:sz w:val="22"/>
            <w:szCs w:val="22"/>
          </w:rPr>
          <w:t>Generation Investment Management</w:t>
        </w:r>
      </w:hyperlink>
      <w:r w:rsidR="0091022E" w:rsidRPr="00586EA0">
        <w:rPr>
          <w:sz w:val="22"/>
          <w:szCs w:val="22"/>
        </w:rPr>
        <w:t xml:space="preserve"> (HBS Case)</w:t>
      </w:r>
    </w:p>
    <w:p w14:paraId="3D583B86" w14:textId="77777777" w:rsidR="0091022E" w:rsidRDefault="0091022E" w:rsidP="0078416A">
      <w:pPr>
        <w:pStyle w:val="BodyText2"/>
        <w:ind w:left="180" w:right="360" w:firstLine="0"/>
        <w:rPr>
          <w:sz w:val="22"/>
          <w:szCs w:val="22"/>
        </w:rPr>
      </w:pPr>
    </w:p>
    <w:p w14:paraId="4B6DBDD7" w14:textId="77777777" w:rsidR="00287588" w:rsidRDefault="0091022E" w:rsidP="0078416A">
      <w:pPr>
        <w:pStyle w:val="BodyText2"/>
        <w:ind w:left="180" w:right="360" w:firstLine="0"/>
        <w:rPr>
          <w:sz w:val="22"/>
          <w:szCs w:val="22"/>
        </w:rPr>
      </w:pPr>
      <w:r>
        <w:rPr>
          <w:sz w:val="22"/>
          <w:szCs w:val="22"/>
        </w:rPr>
        <w:t>Assignments:</w:t>
      </w:r>
    </w:p>
    <w:p w14:paraId="7CF051E7" w14:textId="4C18CCED" w:rsidR="0091022E" w:rsidRDefault="0091022E" w:rsidP="0078416A">
      <w:pPr>
        <w:pStyle w:val="BodyText2"/>
        <w:ind w:left="180" w:right="360" w:firstLine="0"/>
        <w:rPr>
          <w:sz w:val="22"/>
          <w:szCs w:val="22"/>
        </w:rPr>
      </w:pPr>
      <w:r>
        <w:rPr>
          <w:sz w:val="22"/>
          <w:szCs w:val="22"/>
        </w:rPr>
        <w:t xml:space="preserve">Assignment </w:t>
      </w:r>
      <w:r w:rsidR="00A6285F">
        <w:rPr>
          <w:sz w:val="22"/>
          <w:szCs w:val="22"/>
        </w:rPr>
        <w:t>2</w:t>
      </w:r>
      <w:r>
        <w:rPr>
          <w:sz w:val="22"/>
          <w:szCs w:val="22"/>
        </w:rPr>
        <w:t xml:space="preserve"> – Generation Investment Management </w:t>
      </w:r>
      <w:r w:rsidR="00FA0203">
        <w:rPr>
          <w:sz w:val="22"/>
          <w:szCs w:val="22"/>
        </w:rPr>
        <w:t>Questions</w:t>
      </w:r>
      <w:r w:rsidR="00CB0FB0">
        <w:rPr>
          <w:sz w:val="22"/>
          <w:szCs w:val="22"/>
        </w:rPr>
        <w:t xml:space="preserve"> (Type A)</w:t>
      </w:r>
    </w:p>
    <w:p w14:paraId="2A82FD09" w14:textId="77777777" w:rsidR="004B60E4" w:rsidRDefault="004B60E4" w:rsidP="0078416A">
      <w:pPr>
        <w:pStyle w:val="BodyText2"/>
        <w:ind w:left="180" w:right="360" w:firstLine="0"/>
        <w:rPr>
          <w:sz w:val="22"/>
          <w:szCs w:val="22"/>
        </w:rPr>
      </w:pPr>
    </w:p>
    <w:p w14:paraId="7E320E51" w14:textId="246146F5" w:rsidR="003D59AD" w:rsidRPr="00F76460" w:rsidRDefault="004B60E4" w:rsidP="0048419A">
      <w:pPr>
        <w:pStyle w:val="BodyText2"/>
        <w:numPr>
          <w:ilvl w:val="0"/>
          <w:numId w:val="25"/>
        </w:numPr>
        <w:ind w:left="180" w:right="360" w:firstLine="0"/>
        <w:rPr>
          <w:sz w:val="22"/>
          <w:szCs w:val="22"/>
        </w:rPr>
      </w:pPr>
      <w:r w:rsidRPr="00F76460">
        <w:rPr>
          <w:sz w:val="22"/>
          <w:szCs w:val="22"/>
        </w:rPr>
        <w:t>A</w:t>
      </w:r>
      <w:r w:rsidR="00F67F4A">
        <w:rPr>
          <w:sz w:val="22"/>
          <w:szCs w:val="22"/>
        </w:rPr>
        <w:t>nalyzing</w:t>
      </w:r>
      <w:r w:rsidRPr="00F76460">
        <w:rPr>
          <w:sz w:val="22"/>
          <w:szCs w:val="22"/>
        </w:rPr>
        <w:t xml:space="preserve"> ESG Risks and Opportunities in S</w:t>
      </w:r>
      <w:r w:rsidR="00F67F4A">
        <w:rPr>
          <w:sz w:val="22"/>
          <w:szCs w:val="22"/>
        </w:rPr>
        <w:t>tock Valuation</w:t>
      </w:r>
      <w:r w:rsidR="00330BB5" w:rsidRPr="00F76460">
        <w:rPr>
          <w:sz w:val="22"/>
          <w:szCs w:val="22"/>
        </w:rPr>
        <w:t xml:space="preserve"> (11/1</w:t>
      </w:r>
      <w:r w:rsidR="0055401C">
        <w:rPr>
          <w:sz w:val="22"/>
          <w:szCs w:val="22"/>
        </w:rPr>
        <w:t>4</w:t>
      </w:r>
      <w:r w:rsidR="00330BB5" w:rsidRPr="00F76460">
        <w:rPr>
          <w:sz w:val="22"/>
          <w:szCs w:val="22"/>
        </w:rPr>
        <w:t>)</w:t>
      </w:r>
    </w:p>
    <w:p w14:paraId="1F768F9B" w14:textId="1646DDB1" w:rsidR="00DB7791" w:rsidRDefault="003D59AD" w:rsidP="00DB7791">
      <w:pPr>
        <w:spacing w:after="120" w:line="240" w:lineRule="auto"/>
        <w:ind w:left="180" w:right="360"/>
        <w:rPr>
          <w:rFonts w:ascii="Comic Sans MS" w:hAnsi="Comic Sans MS"/>
        </w:rPr>
      </w:pPr>
      <w:r w:rsidRPr="00F1473D">
        <w:rPr>
          <w:rFonts w:ascii="Comic Sans MS" w:hAnsi="Comic Sans MS"/>
        </w:rPr>
        <w:t xml:space="preserve">As you probably know, most </w:t>
      </w:r>
      <w:r w:rsidR="00304E60">
        <w:rPr>
          <w:rFonts w:ascii="Comic Sans MS" w:hAnsi="Comic Sans MS"/>
        </w:rPr>
        <w:t>a</w:t>
      </w:r>
      <w:r w:rsidRPr="00F1473D">
        <w:rPr>
          <w:rFonts w:ascii="Comic Sans MS" w:hAnsi="Comic Sans MS"/>
        </w:rPr>
        <w:t xml:space="preserve">ctive </w:t>
      </w:r>
      <w:r w:rsidR="005A716B">
        <w:rPr>
          <w:rFonts w:ascii="Comic Sans MS" w:hAnsi="Comic Sans MS"/>
        </w:rPr>
        <w:t>m</w:t>
      </w:r>
      <w:r w:rsidRPr="00F1473D">
        <w:rPr>
          <w:rFonts w:ascii="Comic Sans MS" w:hAnsi="Comic Sans MS"/>
        </w:rPr>
        <w:t>anagers employ Fundamental Analysis of companies to select stocks.  More and more</w:t>
      </w:r>
      <w:r w:rsidR="005A716B">
        <w:rPr>
          <w:rFonts w:ascii="Comic Sans MS" w:hAnsi="Comic Sans MS"/>
        </w:rPr>
        <w:t>,</w:t>
      </w:r>
      <w:r w:rsidRPr="00F1473D">
        <w:rPr>
          <w:rFonts w:ascii="Comic Sans MS" w:hAnsi="Comic Sans MS"/>
        </w:rPr>
        <w:t xml:space="preserve"> </w:t>
      </w:r>
      <w:r w:rsidR="00695C24">
        <w:rPr>
          <w:rFonts w:ascii="Comic Sans MS" w:hAnsi="Comic Sans MS"/>
        </w:rPr>
        <w:t>those</w:t>
      </w:r>
      <w:r w:rsidR="005A716B">
        <w:rPr>
          <w:rFonts w:ascii="Comic Sans MS" w:hAnsi="Comic Sans MS"/>
        </w:rPr>
        <w:t xml:space="preserve"> </w:t>
      </w:r>
      <w:r w:rsidRPr="00F1473D">
        <w:rPr>
          <w:rFonts w:ascii="Comic Sans MS" w:hAnsi="Comic Sans MS"/>
        </w:rPr>
        <w:t>managers take into an account ESG factors in their analysis.</w:t>
      </w:r>
      <w:r>
        <w:rPr>
          <w:rFonts w:ascii="Comic Sans MS" w:hAnsi="Comic Sans MS"/>
        </w:rPr>
        <w:t xml:space="preserve">  </w:t>
      </w:r>
      <w:r w:rsidR="00F67F4A">
        <w:rPr>
          <w:rFonts w:ascii="Comic Sans MS" w:hAnsi="Comic Sans MS"/>
        </w:rPr>
        <w:t>Two guests</w:t>
      </w:r>
      <w:r w:rsidRPr="00F1473D">
        <w:rPr>
          <w:rFonts w:ascii="Comic Sans MS" w:hAnsi="Comic Sans MS"/>
        </w:rPr>
        <w:t xml:space="preserve"> will go through a Financial Analysis of a company with and without consideration of ESG factors</w:t>
      </w:r>
      <w:r w:rsidR="00F67F4A">
        <w:rPr>
          <w:rFonts w:ascii="Comic Sans MS" w:hAnsi="Comic Sans MS"/>
        </w:rPr>
        <w:t xml:space="preserve"> and discuss how ESG considerations impact the </w:t>
      </w:r>
      <w:r w:rsidR="00D34FFE">
        <w:rPr>
          <w:rFonts w:ascii="Comic Sans MS" w:hAnsi="Comic Sans MS"/>
        </w:rPr>
        <w:t>m</w:t>
      </w:r>
      <w:r w:rsidR="00F67F4A">
        <w:rPr>
          <w:rFonts w:ascii="Comic Sans MS" w:hAnsi="Comic Sans MS"/>
        </w:rPr>
        <w:t xml:space="preserve">ultiple stocks in the Utility </w:t>
      </w:r>
      <w:r w:rsidR="00C5302C">
        <w:rPr>
          <w:rFonts w:ascii="Comic Sans MS" w:hAnsi="Comic Sans MS"/>
        </w:rPr>
        <w:t xml:space="preserve">industry </w:t>
      </w:r>
      <w:r w:rsidR="00F67F4A">
        <w:rPr>
          <w:rFonts w:ascii="Comic Sans MS" w:hAnsi="Comic Sans MS"/>
        </w:rPr>
        <w:t>trade at.</w:t>
      </w:r>
      <w:r w:rsidR="00D731FD">
        <w:rPr>
          <w:rFonts w:ascii="Comic Sans MS" w:hAnsi="Comic Sans MS"/>
        </w:rPr>
        <w:br/>
      </w:r>
    </w:p>
    <w:p w14:paraId="1AFE8D72" w14:textId="56D459DF" w:rsidR="00413A0A" w:rsidRPr="00F76460" w:rsidRDefault="00413A0A" w:rsidP="00DB7791">
      <w:pPr>
        <w:spacing w:after="120" w:line="240" w:lineRule="auto"/>
        <w:ind w:left="180" w:right="360"/>
        <w:rPr>
          <w:rFonts w:ascii="Comic Sans MS" w:hAnsi="Comic Sans MS"/>
        </w:rPr>
      </w:pPr>
      <w:r w:rsidRPr="00F76460">
        <w:rPr>
          <w:rFonts w:ascii="Comic Sans MS" w:hAnsi="Comic Sans MS"/>
        </w:rPr>
        <w:t xml:space="preserve">Guest Speaker: </w:t>
      </w:r>
      <w:r w:rsidR="00F67F4A">
        <w:rPr>
          <w:rFonts w:ascii="Comic Sans MS" w:hAnsi="Comic Sans MS"/>
        </w:rPr>
        <w:t>t/b/d</w:t>
      </w:r>
    </w:p>
    <w:p w14:paraId="3285148C" w14:textId="77777777" w:rsidR="00A51EDB" w:rsidRDefault="00A51EDB" w:rsidP="0078416A">
      <w:pPr>
        <w:spacing w:after="120" w:line="240" w:lineRule="auto"/>
        <w:ind w:left="180" w:right="360"/>
        <w:rPr>
          <w:rFonts w:ascii="Comic Sans MS" w:hAnsi="Comic Sans MS"/>
        </w:rPr>
      </w:pPr>
    </w:p>
    <w:p w14:paraId="3672194C" w14:textId="6CC0606D" w:rsidR="004B3D47" w:rsidRPr="00470816" w:rsidRDefault="00A6285F" w:rsidP="0078416A">
      <w:pPr>
        <w:pStyle w:val="ListParagraph"/>
        <w:numPr>
          <w:ilvl w:val="0"/>
          <w:numId w:val="25"/>
        </w:numPr>
        <w:spacing w:after="120" w:line="240" w:lineRule="auto"/>
        <w:ind w:left="180" w:right="360" w:firstLine="0"/>
        <w:rPr>
          <w:rFonts w:ascii="Comic Sans MS" w:hAnsi="Comic Sans MS"/>
        </w:rPr>
      </w:pPr>
      <w:r w:rsidRPr="00470816">
        <w:rPr>
          <w:rFonts w:ascii="Comic Sans MS" w:hAnsi="Comic Sans MS"/>
        </w:rPr>
        <w:t>Case Stud</w:t>
      </w:r>
      <w:r w:rsidR="00E54DF1" w:rsidRPr="00470816">
        <w:rPr>
          <w:rFonts w:ascii="Comic Sans MS" w:hAnsi="Comic Sans MS"/>
        </w:rPr>
        <w:t>ies</w:t>
      </w:r>
      <w:r w:rsidRPr="00470816">
        <w:rPr>
          <w:rFonts w:ascii="Comic Sans MS" w:hAnsi="Comic Sans MS"/>
        </w:rPr>
        <w:t>:</w:t>
      </w:r>
      <w:r w:rsidR="00E54DF1" w:rsidRPr="00470816">
        <w:rPr>
          <w:rFonts w:ascii="Comic Sans MS" w:hAnsi="Comic Sans MS"/>
        </w:rPr>
        <w:t xml:space="preserve"> </w:t>
      </w:r>
      <w:r w:rsidR="003D59AD" w:rsidRPr="00470816">
        <w:rPr>
          <w:rFonts w:ascii="Comic Sans MS" w:hAnsi="Comic Sans MS"/>
        </w:rPr>
        <w:t xml:space="preserve">Wellington </w:t>
      </w:r>
      <w:r w:rsidR="00462E4B" w:rsidRPr="00470816">
        <w:rPr>
          <w:rFonts w:ascii="Comic Sans MS" w:hAnsi="Comic Sans MS"/>
        </w:rPr>
        <w:t>Global Impact</w:t>
      </w:r>
      <w:r w:rsidR="00E54DF1" w:rsidRPr="00470816">
        <w:rPr>
          <w:rFonts w:ascii="Comic Sans MS" w:hAnsi="Comic Sans MS"/>
        </w:rPr>
        <w:t xml:space="preserve">/Public Equities Impact Investing </w:t>
      </w:r>
      <w:r w:rsidR="00F76460">
        <w:rPr>
          <w:rFonts w:ascii="Comic Sans MS" w:hAnsi="Comic Sans MS"/>
        </w:rPr>
        <w:br/>
      </w:r>
      <w:r w:rsidR="00287588">
        <w:rPr>
          <w:rFonts w:ascii="Comic Sans MS" w:hAnsi="Comic Sans MS"/>
        </w:rPr>
        <w:t xml:space="preserve">        </w:t>
      </w:r>
      <w:r w:rsidR="00E54DF1" w:rsidRPr="00470816">
        <w:rPr>
          <w:rFonts w:ascii="Comic Sans MS" w:hAnsi="Comic Sans MS"/>
        </w:rPr>
        <w:t xml:space="preserve">at BlackRock </w:t>
      </w:r>
      <w:r w:rsidR="00330BB5" w:rsidRPr="00470816">
        <w:rPr>
          <w:rFonts w:ascii="Comic Sans MS" w:hAnsi="Comic Sans MS"/>
        </w:rPr>
        <w:t>(11/1</w:t>
      </w:r>
      <w:r w:rsidR="0055401C">
        <w:rPr>
          <w:rFonts w:ascii="Comic Sans MS" w:hAnsi="Comic Sans MS"/>
        </w:rPr>
        <w:t>6</w:t>
      </w:r>
      <w:r w:rsidR="00330BB5" w:rsidRPr="00470816">
        <w:rPr>
          <w:rFonts w:ascii="Comic Sans MS" w:hAnsi="Comic Sans MS"/>
        </w:rPr>
        <w:t>)</w:t>
      </w:r>
    </w:p>
    <w:p w14:paraId="52415BAA" w14:textId="77777777" w:rsidR="004B3D47" w:rsidRDefault="004B3D47" w:rsidP="0078416A">
      <w:pPr>
        <w:spacing w:after="120" w:line="240" w:lineRule="auto"/>
        <w:ind w:left="180" w:right="360"/>
        <w:rPr>
          <w:rFonts w:ascii="Comic Sans MS" w:hAnsi="Comic Sans MS"/>
        </w:rPr>
      </w:pPr>
      <w:r>
        <w:rPr>
          <w:rFonts w:ascii="Comic Sans MS" w:hAnsi="Comic Sans MS"/>
        </w:rPr>
        <w:t xml:space="preserve">The Wellington </w:t>
      </w:r>
      <w:r w:rsidR="00DE682B">
        <w:rPr>
          <w:rFonts w:ascii="Comic Sans MS" w:hAnsi="Comic Sans MS"/>
        </w:rPr>
        <w:t xml:space="preserve">and BlackRock </w:t>
      </w:r>
      <w:r>
        <w:rPr>
          <w:rFonts w:ascii="Comic Sans MS" w:hAnsi="Comic Sans MS"/>
        </w:rPr>
        <w:t>Case</w:t>
      </w:r>
      <w:r w:rsidR="00DE682B">
        <w:rPr>
          <w:rFonts w:ascii="Comic Sans MS" w:hAnsi="Comic Sans MS"/>
        </w:rPr>
        <w:t>s</w:t>
      </w:r>
      <w:r>
        <w:rPr>
          <w:rFonts w:ascii="Comic Sans MS" w:hAnsi="Comic Sans MS"/>
        </w:rPr>
        <w:t xml:space="preserve"> describe the </w:t>
      </w:r>
      <w:r w:rsidR="006F5A74">
        <w:rPr>
          <w:rFonts w:ascii="Comic Sans MS" w:hAnsi="Comic Sans MS"/>
        </w:rPr>
        <w:t>creation</w:t>
      </w:r>
      <w:r>
        <w:rPr>
          <w:rFonts w:ascii="Comic Sans MS" w:hAnsi="Comic Sans MS"/>
        </w:rPr>
        <w:t xml:space="preserve"> of Mutual Fund</w:t>
      </w:r>
      <w:r w:rsidR="00DE682B">
        <w:rPr>
          <w:rFonts w:ascii="Comic Sans MS" w:hAnsi="Comic Sans MS"/>
        </w:rPr>
        <w:t>s</w:t>
      </w:r>
      <w:r>
        <w:rPr>
          <w:rFonts w:ascii="Comic Sans MS" w:hAnsi="Comic Sans MS"/>
        </w:rPr>
        <w:t xml:space="preserve"> designed to outperform </w:t>
      </w:r>
      <w:r w:rsidR="00A6285F">
        <w:rPr>
          <w:rFonts w:ascii="Comic Sans MS" w:hAnsi="Comic Sans MS"/>
        </w:rPr>
        <w:t>its</w:t>
      </w:r>
      <w:r>
        <w:rPr>
          <w:rFonts w:ascii="Comic Sans MS" w:hAnsi="Comic Sans MS"/>
        </w:rPr>
        <w:t xml:space="preserve"> benchmark as well as have a positive societal impact.  In class we will discuss </w:t>
      </w:r>
      <w:r w:rsidR="00DE682B">
        <w:rPr>
          <w:rFonts w:ascii="Comic Sans MS" w:hAnsi="Comic Sans MS"/>
        </w:rPr>
        <w:t>both</w:t>
      </w:r>
      <w:r>
        <w:rPr>
          <w:rFonts w:ascii="Comic Sans MS" w:hAnsi="Comic Sans MS"/>
        </w:rPr>
        <w:t xml:space="preserve"> case</w:t>
      </w:r>
      <w:r w:rsidR="00DE682B">
        <w:rPr>
          <w:rFonts w:ascii="Comic Sans MS" w:hAnsi="Comic Sans MS"/>
        </w:rPr>
        <w:t>s</w:t>
      </w:r>
      <w:r>
        <w:rPr>
          <w:rFonts w:ascii="Comic Sans MS" w:hAnsi="Comic Sans MS"/>
        </w:rPr>
        <w:t>.</w:t>
      </w:r>
    </w:p>
    <w:p w14:paraId="3066678B" w14:textId="77777777" w:rsidR="00A51EDB" w:rsidRDefault="00A51EDB" w:rsidP="0078416A">
      <w:pPr>
        <w:spacing w:after="120" w:line="240" w:lineRule="auto"/>
        <w:ind w:left="180" w:right="360"/>
        <w:rPr>
          <w:rFonts w:ascii="Comic Sans MS" w:hAnsi="Comic Sans MS"/>
        </w:rPr>
      </w:pPr>
      <w:r>
        <w:rPr>
          <w:rFonts w:ascii="Comic Sans MS" w:hAnsi="Comic Sans MS"/>
        </w:rPr>
        <w:lastRenderedPageBreak/>
        <w:t>Readings:</w:t>
      </w:r>
    </w:p>
    <w:p w14:paraId="639F10B7" w14:textId="1529B61C" w:rsidR="00A51EDB" w:rsidRDefault="001114E9" w:rsidP="0078416A">
      <w:pPr>
        <w:pStyle w:val="BodyText2"/>
        <w:numPr>
          <w:ilvl w:val="0"/>
          <w:numId w:val="8"/>
        </w:numPr>
        <w:ind w:left="180" w:right="360" w:firstLine="0"/>
        <w:rPr>
          <w:sz w:val="22"/>
          <w:szCs w:val="22"/>
        </w:rPr>
      </w:pPr>
      <w:hyperlink r:id="rId17" w:history="1">
        <w:r w:rsidR="00A51EDB" w:rsidRPr="0004501C">
          <w:rPr>
            <w:rStyle w:val="Hyperlink"/>
            <w:sz w:val="22"/>
            <w:szCs w:val="22"/>
          </w:rPr>
          <w:t>Wellington Global Impact</w:t>
        </w:r>
      </w:hyperlink>
      <w:r w:rsidR="00A51EDB" w:rsidRPr="0004501C">
        <w:rPr>
          <w:sz w:val="22"/>
          <w:szCs w:val="22"/>
        </w:rPr>
        <w:t xml:space="preserve"> (HBS case)</w:t>
      </w:r>
    </w:p>
    <w:p w14:paraId="685138C9" w14:textId="7956C614" w:rsidR="00A95AF6" w:rsidRPr="0004501C" w:rsidRDefault="001114E9" w:rsidP="0078416A">
      <w:pPr>
        <w:pStyle w:val="BodyText2"/>
        <w:numPr>
          <w:ilvl w:val="0"/>
          <w:numId w:val="8"/>
        </w:numPr>
        <w:ind w:left="180" w:right="360" w:firstLine="0"/>
        <w:rPr>
          <w:sz w:val="22"/>
          <w:szCs w:val="22"/>
        </w:rPr>
      </w:pPr>
      <w:hyperlink r:id="rId18" w:history="1">
        <w:r w:rsidR="00A95AF6" w:rsidRPr="00266635">
          <w:rPr>
            <w:rStyle w:val="Hyperlink"/>
            <w:sz w:val="22"/>
            <w:szCs w:val="22"/>
          </w:rPr>
          <w:t>Public Equities Impact Investing at BlackRock</w:t>
        </w:r>
      </w:hyperlink>
      <w:r w:rsidR="00A95AF6">
        <w:rPr>
          <w:sz w:val="22"/>
          <w:szCs w:val="22"/>
        </w:rPr>
        <w:t xml:space="preserve"> (HBS case)</w:t>
      </w:r>
    </w:p>
    <w:p w14:paraId="0EFC5DF9" w14:textId="77777777" w:rsidR="00A51EDB" w:rsidRPr="00F1473D" w:rsidRDefault="00A51EDB" w:rsidP="0078416A">
      <w:pPr>
        <w:pStyle w:val="BodyText2"/>
        <w:ind w:left="180" w:right="360" w:firstLine="0"/>
        <w:rPr>
          <w:sz w:val="22"/>
          <w:szCs w:val="22"/>
        </w:rPr>
      </w:pPr>
    </w:p>
    <w:p w14:paraId="55BC54EA" w14:textId="77777777" w:rsidR="00287588" w:rsidRDefault="00A51EDB" w:rsidP="00F76EED">
      <w:pPr>
        <w:pStyle w:val="BodyText2"/>
        <w:ind w:left="180" w:right="360" w:firstLine="0"/>
        <w:rPr>
          <w:sz w:val="22"/>
          <w:szCs w:val="22"/>
        </w:rPr>
      </w:pPr>
      <w:r w:rsidRPr="00F1473D">
        <w:rPr>
          <w:sz w:val="22"/>
          <w:szCs w:val="22"/>
        </w:rPr>
        <w:t xml:space="preserve">Assignments: </w:t>
      </w:r>
    </w:p>
    <w:p w14:paraId="76C58361" w14:textId="2B401D9A" w:rsidR="00E54DF1" w:rsidRDefault="00A51EDB" w:rsidP="00F76EED">
      <w:pPr>
        <w:pStyle w:val="BodyText2"/>
        <w:ind w:left="180" w:right="360" w:firstLine="0"/>
        <w:rPr>
          <w:sz w:val="22"/>
          <w:szCs w:val="22"/>
        </w:rPr>
      </w:pPr>
      <w:r w:rsidRPr="00F1473D">
        <w:rPr>
          <w:sz w:val="22"/>
          <w:szCs w:val="22"/>
        </w:rPr>
        <w:t xml:space="preserve">Assignment </w:t>
      </w:r>
      <w:r w:rsidR="00A6285F">
        <w:rPr>
          <w:sz w:val="22"/>
          <w:szCs w:val="22"/>
        </w:rPr>
        <w:t>3</w:t>
      </w:r>
      <w:r w:rsidRPr="00F1473D">
        <w:rPr>
          <w:sz w:val="22"/>
          <w:szCs w:val="22"/>
        </w:rPr>
        <w:t xml:space="preserve"> – Questions on Wellington Global Impact</w:t>
      </w:r>
      <w:r w:rsidR="00A95AF6">
        <w:rPr>
          <w:sz w:val="22"/>
          <w:szCs w:val="22"/>
        </w:rPr>
        <w:t>/BlackRock</w:t>
      </w:r>
      <w:r w:rsidRPr="00F1473D">
        <w:rPr>
          <w:sz w:val="22"/>
          <w:szCs w:val="22"/>
        </w:rPr>
        <w:t xml:space="preserve"> Case</w:t>
      </w:r>
      <w:r w:rsidR="00A95AF6">
        <w:rPr>
          <w:sz w:val="22"/>
          <w:szCs w:val="22"/>
        </w:rPr>
        <w:t>s</w:t>
      </w:r>
      <w:r w:rsidRPr="00F1473D">
        <w:rPr>
          <w:sz w:val="22"/>
          <w:szCs w:val="22"/>
        </w:rPr>
        <w:t xml:space="preserve"> (Type A)</w:t>
      </w:r>
    </w:p>
    <w:p w14:paraId="69BDFD86" w14:textId="38B3F99D" w:rsidR="00DB7791" w:rsidRDefault="00DB7791" w:rsidP="0078416A">
      <w:pPr>
        <w:pStyle w:val="BodyText2"/>
        <w:ind w:left="180" w:right="360" w:firstLine="0"/>
        <w:rPr>
          <w:sz w:val="22"/>
          <w:szCs w:val="22"/>
        </w:rPr>
      </w:pPr>
    </w:p>
    <w:p w14:paraId="0587298E" w14:textId="19F3913E" w:rsidR="00DB7791" w:rsidRPr="0067544E" w:rsidRDefault="00DB7791" w:rsidP="00DB7791">
      <w:pPr>
        <w:pStyle w:val="ListParagraph"/>
        <w:keepNext/>
        <w:numPr>
          <w:ilvl w:val="0"/>
          <w:numId w:val="25"/>
        </w:numPr>
        <w:spacing w:after="120" w:line="240" w:lineRule="auto"/>
        <w:ind w:left="180" w:right="360" w:firstLine="0"/>
        <w:rPr>
          <w:rFonts w:ascii="Comic Sans MS" w:hAnsi="Comic Sans MS"/>
        </w:rPr>
      </w:pPr>
      <w:r w:rsidRPr="0067544E">
        <w:rPr>
          <w:rFonts w:ascii="Comic Sans MS" w:hAnsi="Comic Sans MS"/>
        </w:rPr>
        <w:t xml:space="preserve">Passive </w:t>
      </w:r>
      <w:r w:rsidR="00F67F4A">
        <w:rPr>
          <w:rFonts w:ascii="Comic Sans MS" w:hAnsi="Comic Sans MS"/>
        </w:rPr>
        <w:t xml:space="preserve">and Factor Based </w:t>
      </w:r>
      <w:r w:rsidRPr="0067544E">
        <w:rPr>
          <w:rFonts w:ascii="Comic Sans MS" w:hAnsi="Comic Sans MS"/>
        </w:rPr>
        <w:t>ESG Investing (11/2</w:t>
      </w:r>
      <w:r w:rsidR="0055401C">
        <w:rPr>
          <w:rFonts w:ascii="Comic Sans MS" w:hAnsi="Comic Sans MS"/>
        </w:rPr>
        <w:t>1</w:t>
      </w:r>
      <w:r w:rsidRPr="0067544E">
        <w:rPr>
          <w:rFonts w:ascii="Comic Sans MS" w:hAnsi="Comic Sans MS"/>
        </w:rPr>
        <w:t xml:space="preserve">) </w:t>
      </w:r>
    </w:p>
    <w:p w14:paraId="17330EBC" w14:textId="77777777" w:rsidR="00F67F4A" w:rsidRDefault="00DB7791" w:rsidP="00DB7791">
      <w:pPr>
        <w:spacing w:after="120" w:line="240" w:lineRule="auto"/>
        <w:ind w:left="180" w:right="360"/>
        <w:rPr>
          <w:rFonts w:ascii="Comic Sans MS" w:hAnsi="Comic Sans MS"/>
        </w:rPr>
      </w:pPr>
      <w:r w:rsidRPr="0067544E">
        <w:rPr>
          <w:rFonts w:ascii="Comic Sans MS" w:hAnsi="Comic Sans MS"/>
        </w:rPr>
        <w:t>Investors looking for a low-cost way to obtain ESG equity exposure can look to a fund designed to track an ESG index. We start class by comparing the different ESG indices which ties to our earlier work on ESG classification systems.  We then move to the use of Exchange Traded Funds (ETFs) on ESG Indices, a popular vehicle for investors</w:t>
      </w:r>
    </w:p>
    <w:p w14:paraId="0858BA7C" w14:textId="07EEFC13" w:rsidR="005D0143" w:rsidRPr="00DB7791" w:rsidRDefault="00F67F4A" w:rsidP="00DB7791">
      <w:pPr>
        <w:spacing w:after="120" w:line="240" w:lineRule="auto"/>
        <w:ind w:left="180" w:right="360"/>
        <w:rPr>
          <w:rFonts w:ascii="Comic Sans MS" w:hAnsi="Comic Sans MS"/>
        </w:rPr>
      </w:pPr>
      <w:r>
        <w:rPr>
          <w:rFonts w:ascii="Comic Sans MS" w:hAnsi="Comic Sans MS"/>
        </w:rPr>
        <w:t>Toward the end of the class, we will discuss how Quantitatively based Factor portfolios are impacted by ESG considerations</w:t>
      </w:r>
      <w:r w:rsidR="008C21D3" w:rsidRPr="00F1473D">
        <w:br/>
      </w:r>
    </w:p>
    <w:p w14:paraId="4EF6D8F3" w14:textId="4B5BC61D" w:rsidR="00AF67E7" w:rsidRPr="00F1473D" w:rsidRDefault="009C1432" w:rsidP="005F35C7">
      <w:pPr>
        <w:pStyle w:val="ListParagraph"/>
        <w:keepNext/>
        <w:numPr>
          <w:ilvl w:val="0"/>
          <w:numId w:val="25"/>
        </w:numPr>
        <w:spacing w:after="120" w:line="240" w:lineRule="auto"/>
        <w:ind w:left="180" w:right="360" w:firstLine="0"/>
        <w:rPr>
          <w:rFonts w:ascii="Comic Sans MS" w:hAnsi="Comic Sans MS"/>
        </w:rPr>
      </w:pPr>
      <w:r>
        <w:rPr>
          <w:rFonts w:ascii="Comic Sans MS" w:hAnsi="Comic Sans MS"/>
        </w:rPr>
        <w:t xml:space="preserve">ESG </w:t>
      </w:r>
      <w:r w:rsidR="00E8440C">
        <w:rPr>
          <w:rFonts w:ascii="Comic Sans MS" w:hAnsi="Comic Sans MS"/>
        </w:rPr>
        <w:t>Investing in</w:t>
      </w:r>
      <w:r w:rsidR="00D73131">
        <w:rPr>
          <w:rFonts w:ascii="Comic Sans MS" w:hAnsi="Comic Sans MS"/>
        </w:rPr>
        <w:t xml:space="preserve"> Hedge Fund</w:t>
      </w:r>
      <w:r w:rsidR="00E8440C">
        <w:rPr>
          <w:rFonts w:ascii="Comic Sans MS" w:hAnsi="Comic Sans MS"/>
        </w:rPr>
        <w:t>s</w:t>
      </w:r>
      <w:r w:rsidR="00DD6BBC" w:rsidRPr="00E71DDB">
        <w:rPr>
          <w:rFonts w:ascii="Comic Sans MS" w:hAnsi="Comic Sans MS"/>
        </w:rPr>
        <w:t xml:space="preserve"> </w:t>
      </w:r>
      <w:r w:rsidR="00E71DDB" w:rsidRPr="00E71DDB">
        <w:rPr>
          <w:rFonts w:ascii="Comic Sans MS" w:hAnsi="Comic Sans MS"/>
        </w:rPr>
        <w:t>(11/2</w:t>
      </w:r>
      <w:r w:rsidR="0055401C">
        <w:rPr>
          <w:rFonts w:ascii="Comic Sans MS" w:hAnsi="Comic Sans MS"/>
        </w:rPr>
        <w:t>8</w:t>
      </w:r>
      <w:r w:rsidR="00E71DDB" w:rsidRPr="00E71DDB">
        <w:rPr>
          <w:rFonts w:ascii="Comic Sans MS" w:hAnsi="Comic Sans MS"/>
        </w:rPr>
        <w:t>)</w:t>
      </w:r>
      <w:r w:rsidR="00E71DDB" w:rsidRPr="00F1473D">
        <w:rPr>
          <w:rFonts w:ascii="Comic Sans MS" w:hAnsi="Comic Sans MS"/>
        </w:rPr>
        <w:t xml:space="preserve"> </w:t>
      </w:r>
    </w:p>
    <w:p w14:paraId="3DC6989F" w14:textId="1ED9CD68" w:rsidR="00D73131" w:rsidRDefault="003D7DBA" w:rsidP="007E6721">
      <w:pPr>
        <w:tabs>
          <w:tab w:val="left" w:pos="1260"/>
        </w:tabs>
        <w:spacing w:after="120" w:line="240" w:lineRule="auto"/>
        <w:ind w:left="180" w:right="360"/>
        <w:rPr>
          <w:rFonts w:ascii="Comic Sans MS" w:hAnsi="Comic Sans MS"/>
        </w:rPr>
      </w:pPr>
      <w:r>
        <w:rPr>
          <w:rFonts w:ascii="Comic Sans MS" w:hAnsi="Comic Sans MS"/>
        </w:rPr>
        <w:t xml:space="preserve">Short selling is an important component of many Hedge Fund strategies.  Short selling can also be used to change the net </w:t>
      </w:r>
      <w:r w:rsidR="007E6721">
        <w:rPr>
          <w:rFonts w:ascii="Comic Sans MS" w:hAnsi="Comic Sans MS"/>
        </w:rPr>
        <w:t xml:space="preserve">amount </w:t>
      </w:r>
      <w:r>
        <w:rPr>
          <w:rFonts w:ascii="Comic Sans MS" w:hAnsi="Comic Sans MS"/>
        </w:rPr>
        <w:t xml:space="preserve">Carbon Emissions </w:t>
      </w:r>
      <w:r w:rsidR="007E6721">
        <w:rPr>
          <w:rFonts w:ascii="Comic Sans MS" w:hAnsi="Comic Sans MS"/>
        </w:rPr>
        <w:t>coming from a portfolio of companies.</w:t>
      </w:r>
    </w:p>
    <w:p w14:paraId="0C0F49D9" w14:textId="3A4BFE88" w:rsidR="00D731FD" w:rsidRDefault="00E84EA3" w:rsidP="00DB7791">
      <w:pPr>
        <w:tabs>
          <w:tab w:val="left" w:pos="1260"/>
        </w:tabs>
        <w:spacing w:after="120" w:line="240" w:lineRule="auto"/>
        <w:ind w:left="180" w:right="360"/>
        <w:rPr>
          <w:rFonts w:ascii="Comic Sans MS" w:hAnsi="Comic Sans MS"/>
        </w:rPr>
      </w:pPr>
      <w:r w:rsidRPr="00F1473D">
        <w:rPr>
          <w:rFonts w:ascii="Comic Sans MS" w:hAnsi="Comic Sans MS"/>
        </w:rPr>
        <w:t xml:space="preserve">With the help of </w:t>
      </w:r>
      <w:r w:rsidR="007E6721">
        <w:rPr>
          <w:rFonts w:ascii="Comic Sans MS" w:hAnsi="Comic Sans MS"/>
        </w:rPr>
        <w:t>a guest speaker(s)</w:t>
      </w:r>
      <w:r w:rsidR="00D65F68" w:rsidRPr="00F1473D">
        <w:rPr>
          <w:rFonts w:ascii="Comic Sans MS" w:hAnsi="Comic Sans MS"/>
        </w:rPr>
        <w:t xml:space="preserve">, </w:t>
      </w:r>
      <w:r w:rsidRPr="00F1473D">
        <w:rPr>
          <w:rFonts w:ascii="Comic Sans MS" w:hAnsi="Comic Sans MS"/>
        </w:rPr>
        <w:t xml:space="preserve">we explore how </w:t>
      </w:r>
      <w:r w:rsidR="00413A0A">
        <w:rPr>
          <w:rFonts w:ascii="Comic Sans MS" w:hAnsi="Comic Sans MS"/>
        </w:rPr>
        <w:t xml:space="preserve">a quantitatively oriented asset manager </w:t>
      </w:r>
      <w:r w:rsidR="007E6721">
        <w:rPr>
          <w:rFonts w:ascii="Comic Sans MS" w:hAnsi="Comic Sans MS"/>
        </w:rPr>
        <w:t>uses short-selling strategies to reduce the Carbon Emissions of an Equity Portfolio without sacrificing a material amount of Expected Return</w:t>
      </w:r>
    </w:p>
    <w:p w14:paraId="3B1583C9" w14:textId="108ABED6" w:rsidR="007E6721" w:rsidRDefault="007E6721" w:rsidP="00DB7791">
      <w:pPr>
        <w:tabs>
          <w:tab w:val="left" w:pos="1260"/>
        </w:tabs>
        <w:spacing w:after="120" w:line="240" w:lineRule="auto"/>
        <w:ind w:left="180" w:right="360"/>
        <w:rPr>
          <w:rFonts w:ascii="Comic Sans MS" w:hAnsi="Comic Sans MS"/>
        </w:rPr>
      </w:pPr>
      <w:r>
        <w:rPr>
          <w:rFonts w:ascii="Comic Sans MS" w:hAnsi="Comic Sans MS"/>
        </w:rPr>
        <w:t xml:space="preserve">Note there is some disagreement on how to measure short selling in the context of measuring the ESG components of a portfolio, most notably, Carbon Emissions which we will discuss </w:t>
      </w:r>
    </w:p>
    <w:p w14:paraId="312E5E62" w14:textId="2BAFA30F" w:rsidR="00A049F0" w:rsidRPr="00F1473D" w:rsidRDefault="00A049F0" w:rsidP="0078416A">
      <w:pPr>
        <w:tabs>
          <w:tab w:val="left" w:pos="1260"/>
        </w:tabs>
        <w:spacing w:after="120" w:line="240" w:lineRule="auto"/>
        <w:ind w:left="180" w:right="360"/>
        <w:rPr>
          <w:rFonts w:ascii="Comic Sans MS" w:hAnsi="Comic Sans MS"/>
        </w:rPr>
      </w:pPr>
      <w:r w:rsidRPr="00F1473D">
        <w:rPr>
          <w:rFonts w:ascii="Comic Sans MS" w:hAnsi="Comic Sans MS"/>
        </w:rPr>
        <w:t>Readings:</w:t>
      </w:r>
    </w:p>
    <w:p w14:paraId="5AE79BF5" w14:textId="77777777" w:rsidR="004A3E65" w:rsidRPr="00F1473D" w:rsidRDefault="001114E9" w:rsidP="005F35C7">
      <w:pPr>
        <w:pStyle w:val="ListParagraph"/>
        <w:numPr>
          <w:ilvl w:val="0"/>
          <w:numId w:val="34"/>
        </w:numPr>
        <w:tabs>
          <w:tab w:val="left" w:pos="1260"/>
        </w:tabs>
        <w:spacing w:after="120" w:line="240" w:lineRule="auto"/>
        <w:ind w:right="360"/>
        <w:rPr>
          <w:rFonts w:ascii="Comic Sans MS" w:hAnsi="Comic Sans MS"/>
        </w:rPr>
      </w:pPr>
      <w:hyperlink r:id="rId19" w:history="1">
        <w:r w:rsidR="00746BDB" w:rsidRPr="004C3DBE">
          <w:rPr>
            <w:rStyle w:val="Hyperlink"/>
            <w:rFonts w:ascii="Comic Sans MS" w:hAnsi="Comic Sans MS"/>
          </w:rPr>
          <w:t>Clearing the Air: Responsible Investment</w:t>
        </w:r>
      </w:hyperlink>
    </w:p>
    <w:p w14:paraId="0256F55A" w14:textId="77777777" w:rsidR="00D0642A" w:rsidRPr="00F1473D" w:rsidRDefault="001114E9" w:rsidP="005F35C7">
      <w:pPr>
        <w:pStyle w:val="ListParagraph"/>
        <w:numPr>
          <w:ilvl w:val="0"/>
          <w:numId w:val="34"/>
        </w:numPr>
        <w:tabs>
          <w:tab w:val="left" w:pos="1260"/>
        </w:tabs>
        <w:spacing w:after="120" w:line="240" w:lineRule="auto"/>
        <w:ind w:right="360"/>
        <w:rPr>
          <w:rFonts w:ascii="Comic Sans MS" w:hAnsi="Comic Sans MS"/>
        </w:rPr>
      </w:pPr>
      <w:hyperlink r:id="rId20" w:history="1">
        <w:r w:rsidR="00D0642A" w:rsidRPr="004C3DBE">
          <w:rPr>
            <w:rStyle w:val="Hyperlink"/>
            <w:rFonts w:ascii="Comic Sans MS" w:hAnsi="Comic Sans MS"/>
          </w:rPr>
          <w:t>Responsible Asset Selection</w:t>
        </w:r>
        <w:r w:rsidR="0055242B" w:rsidRPr="004C3DBE">
          <w:rPr>
            <w:rStyle w:val="Hyperlink"/>
            <w:rFonts w:ascii="Comic Sans MS" w:hAnsi="Comic Sans MS"/>
          </w:rPr>
          <w:t>:</w:t>
        </w:r>
        <w:r w:rsidR="00D0642A" w:rsidRPr="004C3DBE">
          <w:rPr>
            <w:rStyle w:val="Hyperlink"/>
            <w:rFonts w:ascii="Comic Sans MS" w:hAnsi="Comic Sans MS"/>
          </w:rPr>
          <w:t xml:space="preserve"> ESG in Portfolio Decisions</w:t>
        </w:r>
      </w:hyperlink>
    </w:p>
    <w:p w14:paraId="5D0F2E06" w14:textId="0E84E228" w:rsidR="007F7B61" w:rsidRDefault="00F1473D" w:rsidP="0078416A">
      <w:pPr>
        <w:tabs>
          <w:tab w:val="left" w:pos="1260"/>
        </w:tabs>
        <w:spacing w:after="120" w:line="240" w:lineRule="auto"/>
        <w:ind w:left="180" w:right="360"/>
        <w:rPr>
          <w:rFonts w:ascii="Comic Sans MS" w:hAnsi="Comic Sans MS"/>
        </w:rPr>
      </w:pPr>
      <w:r>
        <w:rPr>
          <w:rFonts w:ascii="Comic Sans MS" w:hAnsi="Comic Sans MS"/>
        </w:rPr>
        <w:br/>
      </w:r>
      <w:r w:rsidR="00746BDB" w:rsidRPr="00F1473D">
        <w:rPr>
          <w:rFonts w:ascii="Comic Sans MS" w:hAnsi="Comic Sans MS"/>
        </w:rPr>
        <w:t xml:space="preserve">Guest Speakers: </w:t>
      </w:r>
      <w:r w:rsidR="007E6721">
        <w:rPr>
          <w:rFonts w:ascii="Comic Sans MS" w:hAnsi="Comic Sans MS"/>
        </w:rPr>
        <w:t>t/b/d</w:t>
      </w:r>
    </w:p>
    <w:p w14:paraId="1AE4D7A0" w14:textId="5830C65A" w:rsidR="007E6721" w:rsidRDefault="007E6721" w:rsidP="0078416A">
      <w:pPr>
        <w:tabs>
          <w:tab w:val="left" w:pos="1260"/>
        </w:tabs>
        <w:spacing w:after="120" w:line="240" w:lineRule="auto"/>
        <w:ind w:left="180" w:right="360"/>
        <w:rPr>
          <w:rFonts w:ascii="Comic Sans MS" w:hAnsi="Comic Sans MS"/>
        </w:rPr>
      </w:pPr>
    </w:p>
    <w:p w14:paraId="600494FA" w14:textId="37383286" w:rsidR="007E6721" w:rsidRDefault="007E6721" w:rsidP="007E6721">
      <w:pPr>
        <w:pStyle w:val="ListParagraph"/>
        <w:numPr>
          <w:ilvl w:val="0"/>
          <w:numId w:val="25"/>
        </w:numPr>
        <w:tabs>
          <w:tab w:val="left" w:pos="1260"/>
        </w:tabs>
        <w:spacing w:after="120" w:line="240" w:lineRule="auto"/>
        <w:ind w:right="360"/>
        <w:rPr>
          <w:rFonts w:ascii="Comic Sans MS" w:hAnsi="Comic Sans MS"/>
        </w:rPr>
      </w:pPr>
      <w:r>
        <w:rPr>
          <w:rFonts w:ascii="Comic Sans MS" w:hAnsi="Comic Sans MS"/>
        </w:rPr>
        <w:t>ESG Investing in Private Equity Markets</w:t>
      </w:r>
      <w:r w:rsidR="00F5303D">
        <w:rPr>
          <w:rFonts w:ascii="Comic Sans MS" w:hAnsi="Comic Sans MS"/>
        </w:rPr>
        <w:t xml:space="preserve"> (11/30)</w:t>
      </w:r>
    </w:p>
    <w:p w14:paraId="6236517F" w14:textId="5ECBBF4C" w:rsidR="007E6721" w:rsidRDefault="007E6721" w:rsidP="00287588">
      <w:pPr>
        <w:tabs>
          <w:tab w:val="left" w:pos="1260"/>
        </w:tabs>
        <w:spacing w:after="120" w:line="240" w:lineRule="auto"/>
        <w:ind w:left="180" w:right="360"/>
        <w:rPr>
          <w:rFonts w:ascii="Comic Sans MS" w:hAnsi="Comic Sans MS"/>
        </w:rPr>
      </w:pPr>
      <w:r>
        <w:rPr>
          <w:rFonts w:ascii="Comic Sans MS" w:hAnsi="Comic Sans MS"/>
        </w:rPr>
        <w:t>Some investor</w:t>
      </w:r>
      <w:r w:rsidR="00571F78">
        <w:rPr>
          <w:rFonts w:ascii="Comic Sans MS" w:hAnsi="Comic Sans MS"/>
        </w:rPr>
        <w:t>s</w:t>
      </w:r>
      <w:r>
        <w:rPr>
          <w:rFonts w:ascii="Comic Sans MS" w:hAnsi="Comic Sans MS"/>
        </w:rPr>
        <w:t xml:space="preserve"> believe that </w:t>
      </w:r>
      <w:r w:rsidR="00F5303D">
        <w:rPr>
          <w:rFonts w:ascii="Comic Sans MS" w:hAnsi="Comic Sans MS"/>
        </w:rPr>
        <w:t xml:space="preserve">it is easier to </w:t>
      </w:r>
      <w:r w:rsidR="00571F78">
        <w:rPr>
          <w:rFonts w:ascii="Comic Sans MS" w:hAnsi="Comic Sans MS"/>
        </w:rPr>
        <w:t xml:space="preserve">manage a company to provide </w:t>
      </w:r>
      <w:r w:rsidR="00087DE6">
        <w:rPr>
          <w:rFonts w:ascii="Comic Sans MS" w:hAnsi="Comic Sans MS"/>
        </w:rPr>
        <w:t>non-financial</w:t>
      </w:r>
      <w:r w:rsidR="00571F78">
        <w:rPr>
          <w:rFonts w:ascii="Comic Sans MS" w:hAnsi="Comic Sans MS"/>
        </w:rPr>
        <w:t xml:space="preserve"> benefit</w:t>
      </w:r>
      <w:r w:rsidR="00087DE6">
        <w:rPr>
          <w:rFonts w:ascii="Comic Sans MS" w:hAnsi="Comic Sans MS"/>
        </w:rPr>
        <w:t>s</w:t>
      </w:r>
      <w:r w:rsidR="00571F78">
        <w:rPr>
          <w:rFonts w:ascii="Comic Sans MS" w:hAnsi="Comic Sans MS"/>
        </w:rPr>
        <w:t xml:space="preserve"> in private markets</w:t>
      </w:r>
      <w:r w:rsidR="00E8440C">
        <w:rPr>
          <w:rFonts w:ascii="Comic Sans MS" w:hAnsi="Comic Sans MS"/>
        </w:rPr>
        <w:t>.  The reasons they cite is that new companies are saddled with legacy policies and investors in private markets are under less pressure to deliver strong financial results in the short-term and can focus on achieving their mission.</w:t>
      </w:r>
    </w:p>
    <w:p w14:paraId="574CB6D0" w14:textId="7275873C" w:rsidR="00E8440C" w:rsidRDefault="00E8440C" w:rsidP="00287588">
      <w:pPr>
        <w:tabs>
          <w:tab w:val="left" w:pos="1260"/>
        </w:tabs>
        <w:spacing w:after="120" w:line="240" w:lineRule="auto"/>
        <w:ind w:left="180" w:right="360"/>
        <w:rPr>
          <w:rFonts w:ascii="Comic Sans MS" w:hAnsi="Comic Sans MS"/>
        </w:rPr>
      </w:pPr>
      <w:r>
        <w:rPr>
          <w:rFonts w:ascii="Comic Sans MS" w:hAnsi="Comic Sans MS"/>
        </w:rPr>
        <w:lastRenderedPageBreak/>
        <w:t>In this class we will discuss two HBS cases, one on Private Equity Firms and ESG, the other a case on Goldman Sachs and Imprint.</w:t>
      </w:r>
    </w:p>
    <w:p w14:paraId="2A0B53A2" w14:textId="565124B1" w:rsidR="00E8440C" w:rsidRDefault="00E8440C" w:rsidP="00287588">
      <w:pPr>
        <w:tabs>
          <w:tab w:val="left" w:pos="1260"/>
        </w:tabs>
        <w:spacing w:after="120" w:line="240" w:lineRule="auto"/>
        <w:ind w:left="180" w:right="360"/>
        <w:rPr>
          <w:rFonts w:ascii="Comic Sans MS" w:hAnsi="Comic Sans MS"/>
        </w:rPr>
      </w:pPr>
      <w:r>
        <w:rPr>
          <w:rFonts w:ascii="Comic Sans MS" w:hAnsi="Comic Sans MS"/>
        </w:rPr>
        <w:t>Readings:</w:t>
      </w:r>
    </w:p>
    <w:p w14:paraId="01F98D65" w14:textId="2D736D9C" w:rsidR="00E8440C" w:rsidRDefault="00E8440C" w:rsidP="00E8440C">
      <w:pPr>
        <w:pStyle w:val="ListParagraph"/>
        <w:numPr>
          <w:ilvl w:val="0"/>
          <w:numId w:val="34"/>
        </w:numPr>
        <w:tabs>
          <w:tab w:val="left" w:pos="1260"/>
        </w:tabs>
        <w:spacing w:after="120" w:line="240" w:lineRule="auto"/>
        <w:ind w:right="360"/>
        <w:rPr>
          <w:rFonts w:ascii="Comic Sans MS" w:hAnsi="Comic Sans MS"/>
        </w:rPr>
      </w:pPr>
      <w:r>
        <w:rPr>
          <w:rFonts w:ascii="Comic Sans MS" w:hAnsi="Comic Sans MS"/>
        </w:rPr>
        <w:t>US Private Equity Firms: ESG and Impact (A)</w:t>
      </w:r>
    </w:p>
    <w:p w14:paraId="4040CD24" w14:textId="31332C51" w:rsidR="00E8440C" w:rsidRDefault="00E8440C" w:rsidP="00E8440C">
      <w:pPr>
        <w:pStyle w:val="ListParagraph"/>
        <w:numPr>
          <w:ilvl w:val="0"/>
          <w:numId w:val="34"/>
        </w:numPr>
        <w:tabs>
          <w:tab w:val="left" w:pos="1260"/>
        </w:tabs>
        <w:spacing w:after="120" w:line="240" w:lineRule="auto"/>
        <w:ind w:right="360"/>
        <w:rPr>
          <w:rFonts w:ascii="Comic Sans MS" w:hAnsi="Comic Sans MS"/>
        </w:rPr>
      </w:pPr>
      <w:r>
        <w:rPr>
          <w:rFonts w:ascii="Comic Sans MS" w:hAnsi="Comic Sans MS"/>
        </w:rPr>
        <w:t>Goldman Sachs: Making an Imprint in Impact Investing</w:t>
      </w:r>
    </w:p>
    <w:p w14:paraId="1337EB68" w14:textId="77777777" w:rsidR="00287588" w:rsidRPr="00287588" w:rsidRDefault="00287588" w:rsidP="00287588">
      <w:pPr>
        <w:tabs>
          <w:tab w:val="left" w:pos="1260"/>
        </w:tabs>
        <w:spacing w:after="120" w:line="240" w:lineRule="auto"/>
        <w:ind w:right="360"/>
        <w:rPr>
          <w:rFonts w:ascii="Comic Sans MS" w:hAnsi="Comic Sans MS"/>
        </w:rPr>
      </w:pPr>
    </w:p>
    <w:p w14:paraId="3A7CC800" w14:textId="4526C350" w:rsidR="00DB7791" w:rsidRDefault="00571F78" w:rsidP="0078416A">
      <w:pPr>
        <w:tabs>
          <w:tab w:val="left" w:pos="1260"/>
        </w:tabs>
        <w:spacing w:after="120" w:line="240" w:lineRule="auto"/>
        <w:ind w:left="180" w:right="360"/>
        <w:rPr>
          <w:rFonts w:ascii="Comic Sans MS" w:hAnsi="Comic Sans MS"/>
        </w:rPr>
      </w:pPr>
      <w:r>
        <w:rPr>
          <w:rFonts w:ascii="Comic Sans MS" w:hAnsi="Comic Sans MS"/>
        </w:rPr>
        <w:t>SECTION 3 – Corporate Engagement and Activism/The Future</w:t>
      </w:r>
    </w:p>
    <w:p w14:paraId="7B1FA535" w14:textId="77777777" w:rsidR="00287588" w:rsidRPr="00F1473D" w:rsidRDefault="00287588" w:rsidP="0078416A">
      <w:pPr>
        <w:tabs>
          <w:tab w:val="left" w:pos="1260"/>
        </w:tabs>
        <w:spacing w:after="120" w:line="240" w:lineRule="auto"/>
        <w:ind w:left="180" w:right="360"/>
        <w:rPr>
          <w:rFonts w:ascii="Comic Sans MS" w:hAnsi="Comic Sans MS"/>
        </w:rPr>
      </w:pPr>
    </w:p>
    <w:p w14:paraId="381A1894" w14:textId="03283A41" w:rsidR="00DB7791" w:rsidRPr="0067544E" w:rsidRDefault="00DB7791" w:rsidP="00DB7791">
      <w:pPr>
        <w:pStyle w:val="ListParagraph"/>
        <w:keepNext/>
        <w:numPr>
          <w:ilvl w:val="0"/>
          <w:numId w:val="25"/>
        </w:numPr>
        <w:spacing w:after="120" w:line="240" w:lineRule="auto"/>
        <w:ind w:left="180" w:right="360" w:firstLine="0"/>
        <w:rPr>
          <w:rFonts w:ascii="Comic Sans MS" w:hAnsi="Comic Sans MS"/>
        </w:rPr>
      </w:pPr>
      <w:r w:rsidRPr="0067544E">
        <w:rPr>
          <w:rFonts w:ascii="Comic Sans MS" w:hAnsi="Comic Sans MS"/>
        </w:rPr>
        <w:t>Influencing Corporate Behavior (1</w:t>
      </w:r>
      <w:r w:rsidR="00F5303D">
        <w:rPr>
          <w:rFonts w:ascii="Comic Sans MS" w:hAnsi="Comic Sans MS"/>
        </w:rPr>
        <w:t>2</w:t>
      </w:r>
      <w:r w:rsidRPr="0067544E">
        <w:rPr>
          <w:rFonts w:ascii="Comic Sans MS" w:hAnsi="Comic Sans MS"/>
        </w:rPr>
        <w:t>/</w:t>
      </w:r>
      <w:r w:rsidR="00F5303D">
        <w:rPr>
          <w:rFonts w:ascii="Comic Sans MS" w:hAnsi="Comic Sans MS"/>
        </w:rPr>
        <w:t>05</w:t>
      </w:r>
      <w:r w:rsidRPr="0067544E">
        <w:rPr>
          <w:rFonts w:ascii="Comic Sans MS" w:hAnsi="Comic Sans MS"/>
        </w:rPr>
        <w:t>)</w:t>
      </w:r>
      <w:r w:rsidRPr="0067544E">
        <w:rPr>
          <w:rFonts w:ascii="Comic Sans MS" w:hAnsi="Comic Sans MS"/>
        </w:rPr>
        <w:br/>
        <w:t>By reviewing the BlackRock case we explore how asset managers use Proxy Voting and Corporate Engagement to influence the behavior of the companies they own. We then discuss how the Hedge Fund, Engine 1, influenced the Board of Exxon to alter its policy on environmental sustainability</w:t>
      </w:r>
      <w:r w:rsidRPr="0067544E">
        <w:rPr>
          <w:rFonts w:ascii="Comic Sans MS" w:hAnsi="Comic Sans MS"/>
        </w:rPr>
        <w:br/>
      </w:r>
    </w:p>
    <w:p w14:paraId="5C2DCA51" w14:textId="77777777" w:rsidR="00DB7791" w:rsidRPr="0067544E" w:rsidRDefault="00DB7791" w:rsidP="00DB7791">
      <w:pPr>
        <w:spacing w:after="120" w:line="240" w:lineRule="auto"/>
        <w:ind w:right="360" w:firstLine="180"/>
        <w:rPr>
          <w:rFonts w:ascii="Comic Sans MS" w:hAnsi="Comic Sans MS"/>
        </w:rPr>
      </w:pPr>
      <w:r w:rsidRPr="0067544E">
        <w:rPr>
          <w:rFonts w:ascii="Comic Sans MS" w:hAnsi="Comic Sans MS"/>
        </w:rPr>
        <w:t>Readings:</w:t>
      </w:r>
    </w:p>
    <w:bookmarkStart w:id="0" w:name="_Hlk84921162"/>
    <w:p w14:paraId="63B77C7C" w14:textId="77777777" w:rsidR="00DB7791" w:rsidRPr="0067544E" w:rsidRDefault="00DB7791" w:rsidP="00DB7791">
      <w:pPr>
        <w:pStyle w:val="BodyText2"/>
        <w:numPr>
          <w:ilvl w:val="0"/>
          <w:numId w:val="18"/>
        </w:numPr>
        <w:ind w:left="180" w:right="360" w:firstLine="0"/>
        <w:rPr>
          <w:sz w:val="22"/>
          <w:szCs w:val="22"/>
        </w:rPr>
      </w:pPr>
      <w:r w:rsidRPr="0067544E">
        <w:rPr>
          <w:sz w:val="22"/>
          <w:szCs w:val="22"/>
        </w:rPr>
        <w:fldChar w:fldCharType="begin"/>
      </w:r>
      <w:r w:rsidRPr="0067544E">
        <w:rPr>
          <w:sz w:val="22"/>
          <w:szCs w:val="22"/>
        </w:rPr>
        <w:instrText xml:space="preserve"> HYPERLINK "https://hbsp.harvard.edu/tu/1628f1da" </w:instrText>
      </w:r>
      <w:r w:rsidRPr="0067544E">
        <w:rPr>
          <w:sz w:val="22"/>
          <w:szCs w:val="22"/>
        </w:rPr>
        <w:fldChar w:fldCharType="separate"/>
      </w:r>
      <w:r w:rsidRPr="0067544E">
        <w:rPr>
          <w:rStyle w:val="Hyperlink"/>
          <w:sz w:val="22"/>
          <w:szCs w:val="22"/>
        </w:rPr>
        <w:t>Public Equities Impact Investing at BlackRock</w:t>
      </w:r>
      <w:r w:rsidRPr="0067544E">
        <w:rPr>
          <w:sz w:val="22"/>
          <w:szCs w:val="22"/>
        </w:rPr>
        <w:fldChar w:fldCharType="end"/>
      </w:r>
      <w:r w:rsidRPr="0067544E">
        <w:rPr>
          <w:sz w:val="22"/>
          <w:szCs w:val="22"/>
        </w:rPr>
        <w:t xml:space="preserve"> </w:t>
      </w:r>
      <w:bookmarkEnd w:id="0"/>
      <w:r w:rsidRPr="0067544E">
        <w:rPr>
          <w:sz w:val="22"/>
          <w:szCs w:val="22"/>
        </w:rPr>
        <w:t>(HBS case)</w:t>
      </w:r>
    </w:p>
    <w:p w14:paraId="112F92F1" w14:textId="570F2A0B" w:rsidR="00DB7791" w:rsidRPr="0067544E" w:rsidRDefault="001114E9" w:rsidP="00DB7791">
      <w:pPr>
        <w:pStyle w:val="BodyText2"/>
        <w:numPr>
          <w:ilvl w:val="0"/>
          <w:numId w:val="18"/>
        </w:numPr>
        <w:ind w:left="180" w:right="360" w:firstLine="0"/>
        <w:rPr>
          <w:sz w:val="22"/>
          <w:szCs w:val="22"/>
        </w:rPr>
      </w:pPr>
      <w:hyperlink r:id="rId21" w:history="1">
        <w:r w:rsidR="00DB7791" w:rsidRPr="0067544E">
          <w:rPr>
            <w:rStyle w:val="Hyperlink"/>
            <w:sz w:val="22"/>
            <w:szCs w:val="22"/>
          </w:rPr>
          <w:t>Larry Fink’s 202</w:t>
        </w:r>
        <w:r w:rsidR="00571F78">
          <w:rPr>
            <w:rStyle w:val="Hyperlink"/>
            <w:sz w:val="22"/>
            <w:szCs w:val="22"/>
          </w:rPr>
          <w:t>2</w:t>
        </w:r>
        <w:r w:rsidR="00DB7791" w:rsidRPr="0067544E">
          <w:rPr>
            <w:rStyle w:val="Hyperlink"/>
            <w:sz w:val="22"/>
            <w:szCs w:val="22"/>
          </w:rPr>
          <w:t xml:space="preserve"> Letter to CEOs</w:t>
        </w:r>
      </w:hyperlink>
    </w:p>
    <w:p w14:paraId="6924DE9F" w14:textId="77777777" w:rsidR="00DB7791" w:rsidRPr="0067544E" w:rsidRDefault="00DB7791" w:rsidP="00DB7791">
      <w:pPr>
        <w:pStyle w:val="BodyText2"/>
        <w:ind w:left="180" w:right="360" w:firstLine="0"/>
        <w:rPr>
          <w:sz w:val="22"/>
          <w:szCs w:val="22"/>
        </w:rPr>
      </w:pPr>
    </w:p>
    <w:p w14:paraId="2430BFDE" w14:textId="77777777" w:rsidR="00287588" w:rsidRDefault="00DB7791" w:rsidP="00DB7791">
      <w:pPr>
        <w:pStyle w:val="BodyText2"/>
        <w:ind w:left="180" w:right="360" w:firstLine="0"/>
        <w:rPr>
          <w:sz w:val="22"/>
          <w:szCs w:val="22"/>
        </w:rPr>
      </w:pPr>
      <w:r w:rsidRPr="0067544E">
        <w:rPr>
          <w:sz w:val="22"/>
          <w:szCs w:val="22"/>
        </w:rPr>
        <w:t xml:space="preserve">Assignments: </w:t>
      </w:r>
    </w:p>
    <w:p w14:paraId="467D6702" w14:textId="1BBC5C61" w:rsidR="00DB7791" w:rsidRPr="0067544E" w:rsidRDefault="00DB7791" w:rsidP="00DB7791">
      <w:pPr>
        <w:pStyle w:val="BodyText2"/>
        <w:ind w:left="180" w:right="360" w:firstLine="0"/>
        <w:rPr>
          <w:sz w:val="22"/>
          <w:szCs w:val="22"/>
        </w:rPr>
      </w:pPr>
      <w:r w:rsidRPr="0067544E">
        <w:rPr>
          <w:sz w:val="22"/>
          <w:szCs w:val="22"/>
        </w:rPr>
        <w:t xml:space="preserve">Assignment </w:t>
      </w:r>
      <w:r w:rsidR="00571F78">
        <w:rPr>
          <w:sz w:val="22"/>
          <w:szCs w:val="22"/>
        </w:rPr>
        <w:t>5</w:t>
      </w:r>
      <w:r w:rsidRPr="0067544E">
        <w:rPr>
          <w:sz w:val="22"/>
          <w:szCs w:val="22"/>
        </w:rPr>
        <w:t xml:space="preserve"> – Questions on BlackRock Case and Engine 1 Reading (Type A)</w:t>
      </w:r>
    </w:p>
    <w:p w14:paraId="2A657C18" w14:textId="77777777" w:rsidR="008303C8" w:rsidRPr="00F1473D" w:rsidRDefault="008303C8" w:rsidP="0078416A">
      <w:pPr>
        <w:keepNext/>
        <w:tabs>
          <w:tab w:val="left" w:pos="1260"/>
        </w:tabs>
        <w:spacing w:after="120" w:line="240" w:lineRule="auto"/>
        <w:ind w:left="180" w:right="360"/>
        <w:rPr>
          <w:rFonts w:ascii="Comic Sans MS" w:hAnsi="Comic Sans MS"/>
        </w:rPr>
      </w:pPr>
    </w:p>
    <w:p w14:paraId="12565C05" w14:textId="0109C1C0" w:rsidR="008303C8" w:rsidRDefault="00571F78" w:rsidP="005F35C7">
      <w:pPr>
        <w:pStyle w:val="ListParagraph"/>
        <w:keepNext/>
        <w:numPr>
          <w:ilvl w:val="0"/>
          <w:numId w:val="25"/>
        </w:numPr>
        <w:spacing w:after="120" w:line="240" w:lineRule="auto"/>
        <w:ind w:left="180" w:right="360" w:firstLine="0"/>
        <w:rPr>
          <w:rFonts w:ascii="Comic Sans MS" w:hAnsi="Comic Sans MS"/>
        </w:rPr>
      </w:pPr>
      <w:r>
        <w:rPr>
          <w:rFonts w:ascii="Comic Sans MS" w:hAnsi="Comic Sans MS"/>
        </w:rPr>
        <w:t>The Future of ESG Investing</w:t>
      </w:r>
      <w:r w:rsidR="008303C8" w:rsidRPr="00F1473D">
        <w:rPr>
          <w:rFonts w:ascii="Comic Sans MS" w:hAnsi="Comic Sans MS"/>
        </w:rPr>
        <w:t xml:space="preserve"> (</w:t>
      </w:r>
      <w:r w:rsidR="008303C8">
        <w:rPr>
          <w:rFonts w:ascii="Comic Sans MS" w:hAnsi="Comic Sans MS"/>
        </w:rPr>
        <w:t>12/0</w:t>
      </w:r>
      <w:r w:rsidR="00F5303D">
        <w:rPr>
          <w:rFonts w:ascii="Comic Sans MS" w:hAnsi="Comic Sans MS"/>
        </w:rPr>
        <w:t>7</w:t>
      </w:r>
      <w:r w:rsidR="008303C8" w:rsidRPr="00F1473D">
        <w:rPr>
          <w:rFonts w:ascii="Comic Sans MS" w:hAnsi="Comic Sans MS"/>
        </w:rPr>
        <w:t>)</w:t>
      </w:r>
    </w:p>
    <w:p w14:paraId="6E5A8F7B" w14:textId="7ED02BE5" w:rsidR="00571F78" w:rsidRPr="00571F78" w:rsidRDefault="00571F78" w:rsidP="00571F78">
      <w:pPr>
        <w:keepNext/>
        <w:spacing w:after="120" w:line="240" w:lineRule="auto"/>
        <w:ind w:left="180" w:right="360"/>
        <w:rPr>
          <w:rFonts w:ascii="Comic Sans MS" w:hAnsi="Comic Sans MS"/>
        </w:rPr>
      </w:pPr>
      <w:r>
        <w:rPr>
          <w:rFonts w:ascii="Comic Sans MS" w:hAnsi="Comic Sans MS"/>
        </w:rPr>
        <w:t>A group of industry experts will share their views on the future of ESG investing.  Please come to the class with questions.</w:t>
      </w:r>
    </w:p>
    <w:p w14:paraId="506BA786" w14:textId="331639C4" w:rsidR="00504D3F" w:rsidRPr="00D64D1C" w:rsidRDefault="008303C8" w:rsidP="00571F78">
      <w:pPr>
        <w:spacing w:after="120" w:line="240" w:lineRule="auto"/>
        <w:ind w:left="180" w:right="360"/>
        <w:rPr>
          <w:rFonts w:ascii="Comic Sans MS" w:hAnsi="Comic Sans MS"/>
        </w:rPr>
      </w:pPr>
      <w:r w:rsidRPr="00F1473D">
        <w:rPr>
          <w:rFonts w:ascii="Comic Sans MS" w:hAnsi="Comic Sans MS"/>
        </w:rPr>
        <w:t xml:space="preserve"> </w:t>
      </w:r>
    </w:p>
    <w:p w14:paraId="4D068D15" w14:textId="77777777" w:rsidR="00B50697" w:rsidRPr="00596D26" w:rsidRDefault="00B50697" w:rsidP="0078416A">
      <w:pPr>
        <w:pStyle w:val="BodyText2"/>
        <w:spacing w:before="240"/>
        <w:ind w:left="180" w:right="360" w:firstLine="0"/>
        <w:rPr>
          <w:sz w:val="22"/>
          <w:szCs w:val="22"/>
        </w:rPr>
      </w:pPr>
    </w:p>
    <w:sectPr w:rsidR="00B50697" w:rsidRPr="00596D26" w:rsidSect="00D731FD">
      <w:headerReference w:type="default" r:id="rId22"/>
      <w:footerReference w:type="default" r:id="rId23"/>
      <w:type w:val="continuous"/>
      <w:pgSz w:w="12240" w:h="15840"/>
      <w:pgMar w:top="1440" w:right="180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7A62" w14:textId="77777777" w:rsidR="004E1D15" w:rsidRDefault="004E1D15" w:rsidP="00934BFC">
      <w:pPr>
        <w:spacing w:after="0" w:line="240" w:lineRule="auto"/>
      </w:pPr>
      <w:r>
        <w:separator/>
      </w:r>
    </w:p>
  </w:endnote>
  <w:endnote w:type="continuationSeparator" w:id="0">
    <w:p w14:paraId="0792DAA5" w14:textId="77777777" w:rsidR="004E1D15" w:rsidRDefault="004E1D1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ED1B" w14:textId="77777777"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642A90">
      <w:rPr>
        <w:b/>
        <w:noProof/>
      </w:rPr>
      <w:t>6</w:t>
    </w:r>
    <w:r w:rsidR="004E6704">
      <w:rPr>
        <w:b/>
      </w:rPr>
      <w:fldChar w:fldCharType="end"/>
    </w:r>
    <w:r>
      <w:t xml:space="preserve"> of </w:t>
    </w:r>
    <w:r w:rsidR="00C144F8">
      <w:rPr>
        <w:b/>
        <w:noProof/>
      </w:rPr>
      <w:fldChar w:fldCharType="begin"/>
    </w:r>
    <w:r w:rsidR="00C144F8">
      <w:rPr>
        <w:b/>
        <w:noProof/>
      </w:rPr>
      <w:instrText xml:space="preserve"> NUMPAGES  \* Arabic  \* MERGEFORMAT </w:instrText>
    </w:r>
    <w:r w:rsidR="00C144F8">
      <w:rPr>
        <w:b/>
        <w:noProof/>
      </w:rPr>
      <w:fldChar w:fldCharType="separate"/>
    </w:r>
    <w:r w:rsidR="00642A90">
      <w:rPr>
        <w:b/>
        <w:noProof/>
      </w:rPr>
      <w:t>6</w:t>
    </w:r>
    <w:r w:rsidR="00C144F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FCAE" w14:textId="77777777" w:rsidR="004E1D15" w:rsidRDefault="004E1D15" w:rsidP="00934BFC">
      <w:pPr>
        <w:spacing w:after="0" w:line="240" w:lineRule="auto"/>
      </w:pPr>
      <w:r>
        <w:separator/>
      </w:r>
    </w:p>
  </w:footnote>
  <w:footnote w:type="continuationSeparator" w:id="0">
    <w:p w14:paraId="61ECD350" w14:textId="77777777" w:rsidR="004E1D15" w:rsidRDefault="004E1D15"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9E26" w14:textId="7A33BC3A"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59CED952" wp14:editId="6F73F94D">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001114E9">
      <w:rPr>
        <w:noProof/>
      </w:rPr>
      <w:t xml:space="preserve">DRAFT | </w:t>
    </w:r>
    <w:r w:rsidRPr="00102A1F">
      <w:rPr>
        <w:noProof/>
        <w:color w:val="808080" w:themeColor="background1" w:themeShade="80"/>
      </w:rPr>
      <w:t xml:space="preserve">Revised </w:t>
    </w:r>
    <w:r w:rsidR="00101107">
      <w:rPr>
        <w:noProof/>
        <w:color w:val="808080" w:themeColor="background1" w:themeShade="80"/>
      </w:rPr>
      <w:fldChar w:fldCharType="begin"/>
    </w:r>
    <w:r w:rsidR="00101107">
      <w:rPr>
        <w:noProof/>
        <w:color w:val="808080" w:themeColor="background1" w:themeShade="80"/>
      </w:rPr>
      <w:instrText xml:space="preserve"> DATE \@ "MMMM d, yyyy" </w:instrText>
    </w:r>
    <w:r w:rsidR="00101107">
      <w:rPr>
        <w:noProof/>
        <w:color w:val="808080" w:themeColor="background1" w:themeShade="80"/>
      </w:rPr>
      <w:fldChar w:fldCharType="separate"/>
    </w:r>
    <w:r w:rsidR="001114E9">
      <w:rPr>
        <w:noProof/>
        <w:color w:val="808080" w:themeColor="background1" w:themeShade="80"/>
      </w:rPr>
      <w:t>July 6, 2022</w:t>
    </w:r>
    <w:r w:rsidR="00101107">
      <w:rPr>
        <w:noProof/>
        <w:color w:val="808080" w:themeColor="background1" w:themeShade="8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2B8"/>
    <w:multiLevelType w:val="hybridMultilevel"/>
    <w:tmpl w:val="8AF8BE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9CB638E"/>
    <w:multiLevelType w:val="hybridMultilevel"/>
    <w:tmpl w:val="04C0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47AD"/>
    <w:multiLevelType w:val="hybridMultilevel"/>
    <w:tmpl w:val="DB12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04790"/>
    <w:multiLevelType w:val="hybridMultilevel"/>
    <w:tmpl w:val="5186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91063"/>
    <w:multiLevelType w:val="hybridMultilevel"/>
    <w:tmpl w:val="4BE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D5D3B"/>
    <w:multiLevelType w:val="hybridMultilevel"/>
    <w:tmpl w:val="8F260E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43362E"/>
    <w:multiLevelType w:val="hybridMultilevel"/>
    <w:tmpl w:val="74D69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CF4228"/>
    <w:multiLevelType w:val="hybridMultilevel"/>
    <w:tmpl w:val="6C4C40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7C3208C"/>
    <w:multiLevelType w:val="hybridMultilevel"/>
    <w:tmpl w:val="9FA0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A5C76"/>
    <w:multiLevelType w:val="hybridMultilevel"/>
    <w:tmpl w:val="B48C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F5E58"/>
    <w:multiLevelType w:val="hybridMultilevel"/>
    <w:tmpl w:val="489E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F3DD2"/>
    <w:multiLevelType w:val="hybridMultilevel"/>
    <w:tmpl w:val="B1DA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73B88"/>
    <w:multiLevelType w:val="hybridMultilevel"/>
    <w:tmpl w:val="3F04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46D8"/>
    <w:multiLevelType w:val="hybridMultilevel"/>
    <w:tmpl w:val="1BFE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17FC6"/>
    <w:multiLevelType w:val="hybridMultilevel"/>
    <w:tmpl w:val="5EDEC2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D4A609A"/>
    <w:multiLevelType w:val="hybridMultilevel"/>
    <w:tmpl w:val="892A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F60BFD"/>
    <w:multiLevelType w:val="hybridMultilevel"/>
    <w:tmpl w:val="4B264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573C7F"/>
    <w:multiLevelType w:val="hybridMultilevel"/>
    <w:tmpl w:val="295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C03918"/>
    <w:multiLevelType w:val="multilevel"/>
    <w:tmpl w:val="026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16C73"/>
    <w:multiLevelType w:val="hybridMultilevel"/>
    <w:tmpl w:val="75AA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7D7402"/>
    <w:multiLevelType w:val="hybridMultilevel"/>
    <w:tmpl w:val="979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21156"/>
    <w:multiLevelType w:val="hybridMultilevel"/>
    <w:tmpl w:val="62B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83148"/>
    <w:multiLevelType w:val="hybridMultilevel"/>
    <w:tmpl w:val="E98EA532"/>
    <w:lvl w:ilvl="0" w:tplc="3FEEFE7A">
      <w:start w:val="1"/>
      <w:numFmt w:val="decimal"/>
      <w:lvlText w:val="%1."/>
      <w:lvlJc w:val="left"/>
      <w:pPr>
        <w:ind w:left="780" w:hanging="60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5F21B8"/>
    <w:multiLevelType w:val="multilevel"/>
    <w:tmpl w:val="8252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6A1A2C"/>
    <w:multiLevelType w:val="hybridMultilevel"/>
    <w:tmpl w:val="61B6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A2B10"/>
    <w:multiLevelType w:val="hybridMultilevel"/>
    <w:tmpl w:val="033E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A4C41"/>
    <w:multiLevelType w:val="hybridMultilevel"/>
    <w:tmpl w:val="556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E91E21"/>
    <w:multiLevelType w:val="hybridMultilevel"/>
    <w:tmpl w:val="062E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F1B6D"/>
    <w:multiLevelType w:val="hybridMultilevel"/>
    <w:tmpl w:val="0220EBA8"/>
    <w:lvl w:ilvl="0" w:tplc="A52282E4">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7EE9072B"/>
    <w:multiLevelType w:val="hybridMultilevel"/>
    <w:tmpl w:val="E5AE08D0"/>
    <w:lvl w:ilvl="0" w:tplc="D6C60240">
      <w:start w:val="1"/>
      <w:numFmt w:val="bullet"/>
      <w:lvlText w:val=""/>
      <w:lvlJc w:val="left"/>
      <w:pPr>
        <w:tabs>
          <w:tab w:val="num" w:pos="1800"/>
        </w:tabs>
        <w:ind w:left="1800" w:hanging="360"/>
      </w:pPr>
      <w:rPr>
        <w:rFonts w:ascii="Symbol" w:hAnsi="Symbol" w:cs="Symbol" w:hint="default"/>
        <w:color w:val="auto"/>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1778816">
    <w:abstractNumId w:val="8"/>
  </w:num>
  <w:num w:numId="2" w16cid:durableId="1234851792">
    <w:abstractNumId w:val="4"/>
  </w:num>
  <w:num w:numId="3" w16cid:durableId="38822389">
    <w:abstractNumId w:val="7"/>
  </w:num>
  <w:num w:numId="4" w16cid:durableId="287394565">
    <w:abstractNumId w:val="27"/>
  </w:num>
  <w:num w:numId="5" w16cid:durableId="786505106">
    <w:abstractNumId w:val="33"/>
  </w:num>
  <w:num w:numId="6" w16cid:durableId="444858497">
    <w:abstractNumId w:val="32"/>
  </w:num>
  <w:num w:numId="7" w16cid:durableId="1344893075">
    <w:abstractNumId w:val="15"/>
  </w:num>
  <w:num w:numId="8" w16cid:durableId="2066365521">
    <w:abstractNumId w:val="5"/>
  </w:num>
  <w:num w:numId="9" w16cid:durableId="1190533336">
    <w:abstractNumId w:val="9"/>
  </w:num>
  <w:num w:numId="10" w16cid:durableId="1749688808">
    <w:abstractNumId w:val="20"/>
  </w:num>
  <w:num w:numId="11" w16cid:durableId="1510824958">
    <w:abstractNumId w:val="29"/>
  </w:num>
  <w:num w:numId="12" w16cid:durableId="1337726893">
    <w:abstractNumId w:val="30"/>
  </w:num>
  <w:num w:numId="13" w16cid:durableId="958995764">
    <w:abstractNumId w:val="6"/>
  </w:num>
  <w:num w:numId="14" w16cid:durableId="2080862611">
    <w:abstractNumId w:val="18"/>
  </w:num>
  <w:num w:numId="15" w16cid:durableId="547230581">
    <w:abstractNumId w:val="16"/>
  </w:num>
  <w:num w:numId="16" w16cid:durableId="183055587">
    <w:abstractNumId w:val="13"/>
  </w:num>
  <w:num w:numId="17" w16cid:durableId="1945989541">
    <w:abstractNumId w:val="12"/>
  </w:num>
  <w:num w:numId="18" w16cid:durableId="1307397301">
    <w:abstractNumId w:val="14"/>
  </w:num>
  <w:num w:numId="19" w16cid:durableId="123238499">
    <w:abstractNumId w:val="3"/>
  </w:num>
  <w:num w:numId="20" w16cid:durableId="434134552">
    <w:abstractNumId w:val="19"/>
  </w:num>
  <w:num w:numId="21" w16cid:durableId="256643810">
    <w:abstractNumId w:val="31"/>
  </w:num>
  <w:num w:numId="22" w16cid:durableId="1472865291">
    <w:abstractNumId w:val="21"/>
  </w:num>
  <w:num w:numId="23" w16cid:durableId="1098793722">
    <w:abstractNumId w:val="26"/>
  </w:num>
  <w:num w:numId="24" w16cid:durableId="1631083917">
    <w:abstractNumId w:val="2"/>
  </w:num>
  <w:num w:numId="25" w16cid:durableId="980379009">
    <w:abstractNumId w:val="25"/>
  </w:num>
  <w:num w:numId="26" w16cid:durableId="2138331765">
    <w:abstractNumId w:val="22"/>
  </w:num>
  <w:num w:numId="27" w16cid:durableId="34232372">
    <w:abstractNumId w:val="28"/>
  </w:num>
  <w:num w:numId="28" w16cid:durableId="64306718">
    <w:abstractNumId w:val="11"/>
  </w:num>
  <w:num w:numId="29" w16cid:durableId="67963350">
    <w:abstractNumId w:val="24"/>
  </w:num>
  <w:num w:numId="30" w16cid:durableId="327904884">
    <w:abstractNumId w:val="1"/>
  </w:num>
  <w:num w:numId="31" w16cid:durableId="553394751">
    <w:abstractNumId w:val="23"/>
  </w:num>
  <w:num w:numId="32" w16cid:durableId="1495417596">
    <w:abstractNumId w:val="17"/>
  </w:num>
  <w:num w:numId="33" w16cid:durableId="1913004139">
    <w:abstractNumId w:val="0"/>
  </w:num>
  <w:num w:numId="34" w16cid:durableId="19242992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0861"/>
    <w:rsid w:val="000023A8"/>
    <w:rsid w:val="00003C64"/>
    <w:rsid w:val="000042C2"/>
    <w:rsid w:val="00010391"/>
    <w:rsid w:val="00021793"/>
    <w:rsid w:val="00021CD2"/>
    <w:rsid w:val="000250AA"/>
    <w:rsid w:val="000260E0"/>
    <w:rsid w:val="00026D65"/>
    <w:rsid w:val="00027837"/>
    <w:rsid w:val="00030C47"/>
    <w:rsid w:val="0003232A"/>
    <w:rsid w:val="00037DAD"/>
    <w:rsid w:val="0004501C"/>
    <w:rsid w:val="00047DFD"/>
    <w:rsid w:val="000505A6"/>
    <w:rsid w:val="000566C5"/>
    <w:rsid w:val="00056B95"/>
    <w:rsid w:val="00057EB5"/>
    <w:rsid w:val="00060060"/>
    <w:rsid w:val="00066EB3"/>
    <w:rsid w:val="00074B41"/>
    <w:rsid w:val="000847E3"/>
    <w:rsid w:val="000853ED"/>
    <w:rsid w:val="0008566E"/>
    <w:rsid w:val="00086749"/>
    <w:rsid w:val="00087DE6"/>
    <w:rsid w:val="00092D20"/>
    <w:rsid w:val="00093E91"/>
    <w:rsid w:val="00097609"/>
    <w:rsid w:val="00097BE0"/>
    <w:rsid w:val="000A64E4"/>
    <w:rsid w:val="000A7099"/>
    <w:rsid w:val="000B6614"/>
    <w:rsid w:val="000C1853"/>
    <w:rsid w:val="000C1BE0"/>
    <w:rsid w:val="000C3044"/>
    <w:rsid w:val="000C3DC0"/>
    <w:rsid w:val="000C4993"/>
    <w:rsid w:val="000C7679"/>
    <w:rsid w:val="000D017F"/>
    <w:rsid w:val="000D10C7"/>
    <w:rsid w:val="000D46A1"/>
    <w:rsid w:val="000D6E29"/>
    <w:rsid w:val="000D76B7"/>
    <w:rsid w:val="000E16A1"/>
    <w:rsid w:val="000E2F88"/>
    <w:rsid w:val="000F0343"/>
    <w:rsid w:val="000F03ED"/>
    <w:rsid w:val="000F1EB1"/>
    <w:rsid w:val="000F26BF"/>
    <w:rsid w:val="000F3E3D"/>
    <w:rsid w:val="000F4B17"/>
    <w:rsid w:val="00101107"/>
    <w:rsid w:val="00101131"/>
    <w:rsid w:val="00102466"/>
    <w:rsid w:val="00102A1F"/>
    <w:rsid w:val="0010301A"/>
    <w:rsid w:val="00104630"/>
    <w:rsid w:val="001063A8"/>
    <w:rsid w:val="001114E9"/>
    <w:rsid w:val="00113F6F"/>
    <w:rsid w:val="001145E4"/>
    <w:rsid w:val="00121FDB"/>
    <w:rsid w:val="00126CEF"/>
    <w:rsid w:val="001322DA"/>
    <w:rsid w:val="0013502A"/>
    <w:rsid w:val="00136C7A"/>
    <w:rsid w:val="00137DB7"/>
    <w:rsid w:val="00141CCF"/>
    <w:rsid w:val="001450E0"/>
    <w:rsid w:val="00160240"/>
    <w:rsid w:val="00162FE2"/>
    <w:rsid w:val="0016766F"/>
    <w:rsid w:val="00167CD1"/>
    <w:rsid w:val="00171614"/>
    <w:rsid w:val="00183C52"/>
    <w:rsid w:val="0018508F"/>
    <w:rsid w:val="0019408D"/>
    <w:rsid w:val="0019459F"/>
    <w:rsid w:val="00194839"/>
    <w:rsid w:val="00195945"/>
    <w:rsid w:val="001970AF"/>
    <w:rsid w:val="001A19EC"/>
    <w:rsid w:val="001A24AA"/>
    <w:rsid w:val="001A62CB"/>
    <w:rsid w:val="001B0527"/>
    <w:rsid w:val="001B4299"/>
    <w:rsid w:val="001B4908"/>
    <w:rsid w:val="001B4ABD"/>
    <w:rsid w:val="001B4E14"/>
    <w:rsid w:val="001B57CF"/>
    <w:rsid w:val="001B62B0"/>
    <w:rsid w:val="001C1339"/>
    <w:rsid w:val="001C23A8"/>
    <w:rsid w:val="001C3510"/>
    <w:rsid w:val="001C4011"/>
    <w:rsid w:val="001C4F64"/>
    <w:rsid w:val="001C5B55"/>
    <w:rsid w:val="001C7EA8"/>
    <w:rsid w:val="001D06A4"/>
    <w:rsid w:val="001D0725"/>
    <w:rsid w:val="001D55F6"/>
    <w:rsid w:val="001D7231"/>
    <w:rsid w:val="001E13BF"/>
    <w:rsid w:val="001E37C5"/>
    <w:rsid w:val="001E5288"/>
    <w:rsid w:val="001E55AB"/>
    <w:rsid w:val="001F38BF"/>
    <w:rsid w:val="001F5B84"/>
    <w:rsid w:val="0020038B"/>
    <w:rsid w:val="00200760"/>
    <w:rsid w:val="0020214C"/>
    <w:rsid w:val="0020742B"/>
    <w:rsid w:val="00210AE7"/>
    <w:rsid w:val="00210D56"/>
    <w:rsid w:val="00214272"/>
    <w:rsid w:val="0021667D"/>
    <w:rsid w:val="00216DE7"/>
    <w:rsid w:val="00222487"/>
    <w:rsid w:val="00222FE3"/>
    <w:rsid w:val="00223281"/>
    <w:rsid w:val="00225D27"/>
    <w:rsid w:val="002324A4"/>
    <w:rsid w:val="00234D86"/>
    <w:rsid w:val="00237327"/>
    <w:rsid w:val="0024071D"/>
    <w:rsid w:val="00243CEA"/>
    <w:rsid w:val="00251604"/>
    <w:rsid w:val="00252FB5"/>
    <w:rsid w:val="00256EF5"/>
    <w:rsid w:val="00257A1E"/>
    <w:rsid w:val="002602A5"/>
    <w:rsid w:val="00261D8B"/>
    <w:rsid w:val="00265479"/>
    <w:rsid w:val="00266635"/>
    <w:rsid w:val="00271709"/>
    <w:rsid w:val="00274730"/>
    <w:rsid w:val="002764AE"/>
    <w:rsid w:val="002816D0"/>
    <w:rsid w:val="00287588"/>
    <w:rsid w:val="00292F61"/>
    <w:rsid w:val="00294713"/>
    <w:rsid w:val="002A0B72"/>
    <w:rsid w:val="002A217C"/>
    <w:rsid w:val="002A3DD4"/>
    <w:rsid w:val="002A691C"/>
    <w:rsid w:val="002B2288"/>
    <w:rsid w:val="002B407C"/>
    <w:rsid w:val="002B5565"/>
    <w:rsid w:val="002C10A5"/>
    <w:rsid w:val="002C26CF"/>
    <w:rsid w:val="002C2F8E"/>
    <w:rsid w:val="002C4BC1"/>
    <w:rsid w:val="002D1395"/>
    <w:rsid w:val="002D2055"/>
    <w:rsid w:val="002E100B"/>
    <w:rsid w:val="002E32CF"/>
    <w:rsid w:val="002E748E"/>
    <w:rsid w:val="002F2B74"/>
    <w:rsid w:val="002F54E1"/>
    <w:rsid w:val="00302062"/>
    <w:rsid w:val="00304E60"/>
    <w:rsid w:val="00307FCE"/>
    <w:rsid w:val="003143BD"/>
    <w:rsid w:val="00314D16"/>
    <w:rsid w:val="00317E92"/>
    <w:rsid w:val="00322249"/>
    <w:rsid w:val="00322524"/>
    <w:rsid w:val="00324CD1"/>
    <w:rsid w:val="00330BB5"/>
    <w:rsid w:val="00331812"/>
    <w:rsid w:val="00334063"/>
    <w:rsid w:val="00337ED9"/>
    <w:rsid w:val="0034001E"/>
    <w:rsid w:val="00341572"/>
    <w:rsid w:val="00346B54"/>
    <w:rsid w:val="003570A2"/>
    <w:rsid w:val="0035764B"/>
    <w:rsid w:val="00357F32"/>
    <w:rsid w:val="003608A2"/>
    <w:rsid w:val="003618FC"/>
    <w:rsid w:val="00372AA7"/>
    <w:rsid w:val="003746F4"/>
    <w:rsid w:val="00377B97"/>
    <w:rsid w:val="00377C8A"/>
    <w:rsid w:val="003835DD"/>
    <w:rsid w:val="00383A6D"/>
    <w:rsid w:val="00384D9A"/>
    <w:rsid w:val="00384DA4"/>
    <w:rsid w:val="00385AC9"/>
    <w:rsid w:val="003864E7"/>
    <w:rsid w:val="003928A2"/>
    <w:rsid w:val="003A0E4F"/>
    <w:rsid w:val="003A2C77"/>
    <w:rsid w:val="003A2D56"/>
    <w:rsid w:val="003A3FC3"/>
    <w:rsid w:val="003A793F"/>
    <w:rsid w:val="003B707A"/>
    <w:rsid w:val="003B741F"/>
    <w:rsid w:val="003B7F74"/>
    <w:rsid w:val="003C0359"/>
    <w:rsid w:val="003C0398"/>
    <w:rsid w:val="003C336D"/>
    <w:rsid w:val="003C3F41"/>
    <w:rsid w:val="003C4EEB"/>
    <w:rsid w:val="003C72BD"/>
    <w:rsid w:val="003C7A41"/>
    <w:rsid w:val="003D2009"/>
    <w:rsid w:val="003D4FD0"/>
    <w:rsid w:val="003D59AD"/>
    <w:rsid w:val="003D642C"/>
    <w:rsid w:val="003D6C41"/>
    <w:rsid w:val="003D7DBA"/>
    <w:rsid w:val="003E0B5E"/>
    <w:rsid w:val="003E4842"/>
    <w:rsid w:val="003E6A91"/>
    <w:rsid w:val="003E70B3"/>
    <w:rsid w:val="003F1D8A"/>
    <w:rsid w:val="003F2FBB"/>
    <w:rsid w:val="003F48F7"/>
    <w:rsid w:val="003F51DE"/>
    <w:rsid w:val="004001B3"/>
    <w:rsid w:val="00402994"/>
    <w:rsid w:val="00402D4F"/>
    <w:rsid w:val="00406FA8"/>
    <w:rsid w:val="00407B48"/>
    <w:rsid w:val="00413A0A"/>
    <w:rsid w:val="00416642"/>
    <w:rsid w:val="0041738F"/>
    <w:rsid w:val="00421817"/>
    <w:rsid w:val="00421964"/>
    <w:rsid w:val="00424BE4"/>
    <w:rsid w:val="00425DA2"/>
    <w:rsid w:val="00430C0F"/>
    <w:rsid w:val="00432EA0"/>
    <w:rsid w:val="004352E0"/>
    <w:rsid w:val="00441C72"/>
    <w:rsid w:val="004429D0"/>
    <w:rsid w:val="00451CC3"/>
    <w:rsid w:val="0045379E"/>
    <w:rsid w:val="00455CEF"/>
    <w:rsid w:val="004563C5"/>
    <w:rsid w:val="00457395"/>
    <w:rsid w:val="00460BC0"/>
    <w:rsid w:val="0046250D"/>
    <w:rsid w:val="00462E4B"/>
    <w:rsid w:val="004671BE"/>
    <w:rsid w:val="00470816"/>
    <w:rsid w:val="00470B4B"/>
    <w:rsid w:val="00470D23"/>
    <w:rsid w:val="00473159"/>
    <w:rsid w:val="00485FEC"/>
    <w:rsid w:val="00486DF8"/>
    <w:rsid w:val="00491351"/>
    <w:rsid w:val="00492BBC"/>
    <w:rsid w:val="0049440C"/>
    <w:rsid w:val="00496934"/>
    <w:rsid w:val="00496D83"/>
    <w:rsid w:val="004A291C"/>
    <w:rsid w:val="004A3E65"/>
    <w:rsid w:val="004A62C9"/>
    <w:rsid w:val="004A71E8"/>
    <w:rsid w:val="004B0BB1"/>
    <w:rsid w:val="004B3D47"/>
    <w:rsid w:val="004B3F14"/>
    <w:rsid w:val="004B5691"/>
    <w:rsid w:val="004B60E4"/>
    <w:rsid w:val="004C3DBE"/>
    <w:rsid w:val="004D3BF3"/>
    <w:rsid w:val="004D4180"/>
    <w:rsid w:val="004D5350"/>
    <w:rsid w:val="004E121A"/>
    <w:rsid w:val="004E1D15"/>
    <w:rsid w:val="004E66E3"/>
    <w:rsid w:val="004E6704"/>
    <w:rsid w:val="004E7078"/>
    <w:rsid w:val="004E7353"/>
    <w:rsid w:val="004E7669"/>
    <w:rsid w:val="004E7F25"/>
    <w:rsid w:val="004F0692"/>
    <w:rsid w:val="004F3A05"/>
    <w:rsid w:val="004F5D99"/>
    <w:rsid w:val="00500BFC"/>
    <w:rsid w:val="00500EAD"/>
    <w:rsid w:val="00504D3F"/>
    <w:rsid w:val="0052057C"/>
    <w:rsid w:val="00520F29"/>
    <w:rsid w:val="005219DF"/>
    <w:rsid w:val="00521DD1"/>
    <w:rsid w:val="00523CCA"/>
    <w:rsid w:val="0052407E"/>
    <w:rsid w:val="00524773"/>
    <w:rsid w:val="00524C59"/>
    <w:rsid w:val="005254FB"/>
    <w:rsid w:val="00527D17"/>
    <w:rsid w:val="005319A6"/>
    <w:rsid w:val="00535E97"/>
    <w:rsid w:val="00535F4E"/>
    <w:rsid w:val="00536A26"/>
    <w:rsid w:val="005378BE"/>
    <w:rsid w:val="00537E34"/>
    <w:rsid w:val="00537E79"/>
    <w:rsid w:val="00537F6C"/>
    <w:rsid w:val="00547662"/>
    <w:rsid w:val="0055242B"/>
    <w:rsid w:val="00553A5C"/>
    <w:rsid w:val="0055401C"/>
    <w:rsid w:val="005600FB"/>
    <w:rsid w:val="00560380"/>
    <w:rsid w:val="0056182E"/>
    <w:rsid w:val="0056589B"/>
    <w:rsid w:val="00566935"/>
    <w:rsid w:val="00566CFB"/>
    <w:rsid w:val="00571F78"/>
    <w:rsid w:val="0057223A"/>
    <w:rsid w:val="00573A30"/>
    <w:rsid w:val="00573C56"/>
    <w:rsid w:val="00574AAA"/>
    <w:rsid w:val="00575711"/>
    <w:rsid w:val="00584D92"/>
    <w:rsid w:val="00586EA0"/>
    <w:rsid w:val="0059267B"/>
    <w:rsid w:val="00592BB2"/>
    <w:rsid w:val="00595381"/>
    <w:rsid w:val="00595485"/>
    <w:rsid w:val="00596D26"/>
    <w:rsid w:val="005A3333"/>
    <w:rsid w:val="005A6147"/>
    <w:rsid w:val="005A716B"/>
    <w:rsid w:val="005B0928"/>
    <w:rsid w:val="005B1A93"/>
    <w:rsid w:val="005B4A62"/>
    <w:rsid w:val="005B5F61"/>
    <w:rsid w:val="005B6493"/>
    <w:rsid w:val="005C17EE"/>
    <w:rsid w:val="005C284C"/>
    <w:rsid w:val="005C5DBA"/>
    <w:rsid w:val="005C62CE"/>
    <w:rsid w:val="005D0143"/>
    <w:rsid w:val="005D1F1D"/>
    <w:rsid w:val="005D5E5C"/>
    <w:rsid w:val="005E7A38"/>
    <w:rsid w:val="005F35C7"/>
    <w:rsid w:val="005F43A8"/>
    <w:rsid w:val="0060042A"/>
    <w:rsid w:val="006007D9"/>
    <w:rsid w:val="006115D6"/>
    <w:rsid w:val="00612DB4"/>
    <w:rsid w:val="00616427"/>
    <w:rsid w:val="006203EE"/>
    <w:rsid w:val="006216FF"/>
    <w:rsid w:val="00621902"/>
    <w:rsid w:val="0062390A"/>
    <w:rsid w:val="0062416A"/>
    <w:rsid w:val="006246C1"/>
    <w:rsid w:val="00630259"/>
    <w:rsid w:val="00634D90"/>
    <w:rsid w:val="006350AE"/>
    <w:rsid w:val="0063563F"/>
    <w:rsid w:val="00636584"/>
    <w:rsid w:val="00637C19"/>
    <w:rsid w:val="0064143E"/>
    <w:rsid w:val="00641BF0"/>
    <w:rsid w:val="006422D9"/>
    <w:rsid w:val="0064285E"/>
    <w:rsid w:val="00642A90"/>
    <w:rsid w:val="006503EF"/>
    <w:rsid w:val="00650D91"/>
    <w:rsid w:val="00652DF4"/>
    <w:rsid w:val="0065342E"/>
    <w:rsid w:val="00653D6B"/>
    <w:rsid w:val="0065597E"/>
    <w:rsid w:val="006565E2"/>
    <w:rsid w:val="0065753F"/>
    <w:rsid w:val="0066292B"/>
    <w:rsid w:val="00664211"/>
    <w:rsid w:val="00665B00"/>
    <w:rsid w:val="00667B15"/>
    <w:rsid w:val="00672AEA"/>
    <w:rsid w:val="0067544E"/>
    <w:rsid w:val="0067565E"/>
    <w:rsid w:val="0067699E"/>
    <w:rsid w:val="006774A3"/>
    <w:rsid w:val="00677773"/>
    <w:rsid w:val="00690159"/>
    <w:rsid w:val="00690632"/>
    <w:rsid w:val="006907E6"/>
    <w:rsid w:val="006933CB"/>
    <w:rsid w:val="00695C24"/>
    <w:rsid w:val="006A2D7E"/>
    <w:rsid w:val="006A3EBA"/>
    <w:rsid w:val="006A4ADE"/>
    <w:rsid w:val="006A7F4F"/>
    <w:rsid w:val="006B274F"/>
    <w:rsid w:val="006B2DF1"/>
    <w:rsid w:val="006B514C"/>
    <w:rsid w:val="006B59AA"/>
    <w:rsid w:val="006B64A0"/>
    <w:rsid w:val="006B7462"/>
    <w:rsid w:val="006B75B4"/>
    <w:rsid w:val="006C3873"/>
    <w:rsid w:val="006C5833"/>
    <w:rsid w:val="006C69C0"/>
    <w:rsid w:val="006D3035"/>
    <w:rsid w:val="006D5BC9"/>
    <w:rsid w:val="006D5EF0"/>
    <w:rsid w:val="006D7F02"/>
    <w:rsid w:val="006E0103"/>
    <w:rsid w:val="006E33E4"/>
    <w:rsid w:val="006E5AC7"/>
    <w:rsid w:val="006F158F"/>
    <w:rsid w:val="006F5A74"/>
    <w:rsid w:val="006F6BB9"/>
    <w:rsid w:val="006F76A4"/>
    <w:rsid w:val="00700BC1"/>
    <w:rsid w:val="00701453"/>
    <w:rsid w:val="00703F37"/>
    <w:rsid w:val="00705085"/>
    <w:rsid w:val="00706933"/>
    <w:rsid w:val="00707A1B"/>
    <w:rsid w:val="00707DAC"/>
    <w:rsid w:val="00710602"/>
    <w:rsid w:val="00711B82"/>
    <w:rsid w:val="00715834"/>
    <w:rsid w:val="00715D05"/>
    <w:rsid w:val="0071633F"/>
    <w:rsid w:val="007233F4"/>
    <w:rsid w:val="00731A91"/>
    <w:rsid w:val="00735E95"/>
    <w:rsid w:val="00735F0D"/>
    <w:rsid w:val="007440EE"/>
    <w:rsid w:val="00746BDB"/>
    <w:rsid w:val="00752226"/>
    <w:rsid w:val="007527C7"/>
    <w:rsid w:val="00753952"/>
    <w:rsid w:val="00757025"/>
    <w:rsid w:val="0075780A"/>
    <w:rsid w:val="00761ADC"/>
    <w:rsid w:val="00762600"/>
    <w:rsid w:val="0076654E"/>
    <w:rsid w:val="00766EFE"/>
    <w:rsid w:val="00767034"/>
    <w:rsid w:val="007719AA"/>
    <w:rsid w:val="00771D2C"/>
    <w:rsid w:val="00776559"/>
    <w:rsid w:val="00782314"/>
    <w:rsid w:val="0078416A"/>
    <w:rsid w:val="007904BC"/>
    <w:rsid w:val="00791103"/>
    <w:rsid w:val="00794378"/>
    <w:rsid w:val="00797002"/>
    <w:rsid w:val="00797784"/>
    <w:rsid w:val="00797A59"/>
    <w:rsid w:val="007A37AA"/>
    <w:rsid w:val="007A46F7"/>
    <w:rsid w:val="007A5B89"/>
    <w:rsid w:val="007A771F"/>
    <w:rsid w:val="007B1B41"/>
    <w:rsid w:val="007B2D62"/>
    <w:rsid w:val="007B47A4"/>
    <w:rsid w:val="007B5412"/>
    <w:rsid w:val="007B6CAD"/>
    <w:rsid w:val="007C10EE"/>
    <w:rsid w:val="007C597F"/>
    <w:rsid w:val="007C6252"/>
    <w:rsid w:val="007D55E4"/>
    <w:rsid w:val="007E164A"/>
    <w:rsid w:val="007E1E28"/>
    <w:rsid w:val="007E4329"/>
    <w:rsid w:val="007E516B"/>
    <w:rsid w:val="007E54FF"/>
    <w:rsid w:val="007E5FF1"/>
    <w:rsid w:val="007E6721"/>
    <w:rsid w:val="007E6D2F"/>
    <w:rsid w:val="007F000A"/>
    <w:rsid w:val="007F068A"/>
    <w:rsid w:val="007F3265"/>
    <w:rsid w:val="007F7434"/>
    <w:rsid w:val="007F7B61"/>
    <w:rsid w:val="00800B7A"/>
    <w:rsid w:val="008017E2"/>
    <w:rsid w:val="00816792"/>
    <w:rsid w:val="00816B5D"/>
    <w:rsid w:val="00820B48"/>
    <w:rsid w:val="0082457D"/>
    <w:rsid w:val="008303C8"/>
    <w:rsid w:val="00834383"/>
    <w:rsid w:val="00835083"/>
    <w:rsid w:val="0084199F"/>
    <w:rsid w:val="0084356C"/>
    <w:rsid w:val="00843964"/>
    <w:rsid w:val="00845896"/>
    <w:rsid w:val="00847EB4"/>
    <w:rsid w:val="008543E3"/>
    <w:rsid w:val="008554A1"/>
    <w:rsid w:val="00856AC7"/>
    <w:rsid w:val="00857ECB"/>
    <w:rsid w:val="00860209"/>
    <w:rsid w:val="0086063D"/>
    <w:rsid w:val="00865AF3"/>
    <w:rsid w:val="00867E41"/>
    <w:rsid w:val="008702B7"/>
    <w:rsid w:val="008712B8"/>
    <w:rsid w:val="00872FDE"/>
    <w:rsid w:val="00873FCA"/>
    <w:rsid w:val="00874EDA"/>
    <w:rsid w:val="00875F29"/>
    <w:rsid w:val="008768EF"/>
    <w:rsid w:val="00876944"/>
    <w:rsid w:val="008813C8"/>
    <w:rsid w:val="008826E8"/>
    <w:rsid w:val="008857E9"/>
    <w:rsid w:val="0088699A"/>
    <w:rsid w:val="00886D6C"/>
    <w:rsid w:val="008874FD"/>
    <w:rsid w:val="00890663"/>
    <w:rsid w:val="00893319"/>
    <w:rsid w:val="008941A6"/>
    <w:rsid w:val="00896687"/>
    <w:rsid w:val="008B3BFF"/>
    <w:rsid w:val="008B476C"/>
    <w:rsid w:val="008C21D3"/>
    <w:rsid w:val="008C3FFB"/>
    <w:rsid w:val="008C42D8"/>
    <w:rsid w:val="008C6293"/>
    <w:rsid w:val="008C6A83"/>
    <w:rsid w:val="008D2E28"/>
    <w:rsid w:val="008D581E"/>
    <w:rsid w:val="008D753E"/>
    <w:rsid w:val="008E06D7"/>
    <w:rsid w:val="008E2B8D"/>
    <w:rsid w:val="008E3E59"/>
    <w:rsid w:val="008E4012"/>
    <w:rsid w:val="008E4346"/>
    <w:rsid w:val="008E53E4"/>
    <w:rsid w:val="008E5775"/>
    <w:rsid w:val="008F2AB0"/>
    <w:rsid w:val="008F30D5"/>
    <w:rsid w:val="008F411A"/>
    <w:rsid w:val="008F7044"/>
    <w:rsid w:val="00901C19"/>
    <w:rsid w:val="00903A78"/>
    <w:rsid w:val="00906274"/>
    <w:rsid w:val="00906D9A"/>
    <w:rsid w:val="00907B02"/>
    <w:rsid w:val="0091022E"/>
    <w:rsid w:val="009102BC"/>
    <w:rsid w:val="00914327"/>
    <w:rsid w:val="00920743"/>
    <w:rsid w:val="00920B95"/>
    <w:rsid w:val="009212E9"/>
    <w:rsid w:val="00923BB7"/>
    <w:rsid w:val="009245C8"/>
    <w:rsid w:val="00934BFC"/>
    <w:rsid w:val="00934EDC"/>
    <w:rsid w:val="0094164F"/>
    <w:rsid w:val="00942B9B"/>
    <w:rsid w:val="00945597"/>
    <w:rsid w:val="009459CF"/>
    <w:rsid w:val="00946D14"/>
    <w:rsid w:val="00947CEE"/>
    <w:rsid w:val="0095136C"/>
    <w:rsid w:val="00952329"/>
    <w:rsid w:val="0095523B"/>
    <w:rsid w:val="009609CE"/>
    <w:rsid w:val="00961248"/>
    <w:rsid w:val="0096332A"/>
    <w:rsid w:val="00963E31"/>
    <w:rsid w:val="00964C42"/>
    <w:rsid w:val="009665C3"/>
    <w:rsid w:val="00970B9D"/>
    <w:rsid w:val="0098006B"/>
    <w:rsid w:val="0098085D"/>
    <w:rsid w:val="00980974"/>
    <w:rsid w:val="00981BDC"/>
    <w:rsid w:val="009820A6"/>
    <w:rsid w:val="009901BA"/>
    <w:rsid w:val="009A2D67"/>
    <w:rsid w:val="009A430A"/>
    <w:rsid w:val="009A7350"/>
    <w:rsid w:val="009B47C4"/>
    <w:rsid w:val="009B6C39"/>
    <w:rsid w:val="009B7957"/>
    <w:rsid w:val="009C0578"/>
    <w:rsid w:val="009C1432"/>
    <w:rsid w:val="009C20D7"/>
    <w:rsid w:val="009C27F4"/>
    <w:rsid w:val="009C4727"/>
    <w:rsid w:val="009C4786"/>
    <w:rsid w:val="009C4A2A"/>
    <w:rsid w:val="009C5A8B"/>
    <w:rsid w:val="009C6407"/>
    <w:rsid w:val="009C7968"/>
    <w:rsid w:val="009C7F92"/>
    <w:rsid w:val="009D4245"/>
    <w:rsid w:val="009D4684"/>
    <w:rsid w:val="009D58A9"/>
    <w:rsid w:val="009D5979"/>
    <w:rsid w:val="009E0D61"/>
    <w:rsid w:val="009E227A"/>
    <w:rsid w:val="009E2B66"/>
    <w:rsid w:val="009E5742"/>
    <w:rsid w:val="009F2D35"/>
    <w:rsid w:val="009F327E"/>
    <w:rsid w:val="009F512D"/>
    <w:rsid w:val="009F6686"/>
    <w:rsid w:val="00A01032"/>
    <w:rsid w:val="00A014E5"/>
    <w:rsid w:val="00A023F6"/>
    <w:rsid w:val="00A049F0"/>
    <w:rsid w:val="00A05557"/>
    <w:rsid w:val="00A06F6D"/>
    <w:rsid w:val="00A122A8"/>
    <w:rsid w:val="00A156FA"/>
    <w:rsid w:val="00A172B3"/>
    <w:rsid w:val="00A20CDD"/>
    <w:rsid w:val="00A21071"/>
    <w:rsid w:val="00A21F54"/>
    <w:rsid w:val="00A35716"/>
    <w:rsid w:val="00A369BD"/>
    <w:rsid w:val="00A45C3A"/>
    <w:rsid w:val="00A46929"/>
    <w:rsid w:val="00A46D7E"/>
    <w:rsid w:val="00A5046A"/>
    <w:rsid w:val="00A51EDB"/>
    <w:rsid w:val="00A62455"/>
    <w:rsid w:val="00A6285F"/>
    <w:rsid w:val="00A633ED"/>
    <w:rsid w:val="00A636FA"/>
    <w:rsid w:val="00A644AE"/>
    <w:rsid w:val="00A715C5"/>
    <w:rsid w:val="00A7249B"/>
    <w:rsid w:val="00A7316D"/>
    <w:rsid w:val="00A73658"/>
    <w:rsid w:val="00A7464B"/>
    <w:rsid w:val="00A81966"/>
    <w:rsid w:val="00A83A54"/>
    <w:rsid w:val="00A86C4A"/>
    <w:rsid w:val="00A921AA"/>
    <w:rsid w:val="00A95AF6"/>
    <w:rsid w:val="00A97546"/>
    <w:rsid w:val="00AA04DC"/>
    <w:rsid w:val="00AB11DD"/>
    <w:rsid w:val="00AB4F67"/>
    <w:rsid w:val="00AB51CB"/>
    <w:rsid w:val="00AC0815"/>
    <w:rsid w:val="00AC3108"/>
    <w:rsid w:val="00AC6263"/>
    <w:rsid w:val="00AC7DDA"/>
    <w:rsid w:val="00AC7EB1"/>
    <w:rsid w:val="00AD2D25"/>
    <w:rsid w:val="00AD3820"/>
    <w:rsid w:val="00AD5A1A"/>
    <w:rsid w:val="00AD5C0D"/>
    <w:rsid w:val="00AD67CF"/>
    <w:rsid w:val="00AD7B21"/>
    <w:rsid w:val="00AE1B25"/>
    <w:rsid w:val="00AE4AE4"/>
    <w:rsid w:val="00AF0275"/>
    <w:rsid w:val="00AF3B87"/>
    <w:rsid w:val="00AF67E7"/>
    <w:rsid w:val="00AF6E46"/>
    <w:rsid w:val="00AF763D"/>
    <w:rsid w:val="00AF7A36"/>
    <w:rsid w:val="00B04C7C"/>
    <w:rsid w:val="00B1405A"/>
    <w:rsid w:val="00B146C3"/>
    <w:rsid w:val="00B15A6F"/>
    <w:rsid w:val="00B1696C"/>
    <w:rsid w:val="00B22772"/>
    <w:rsid w:val="00B2545F"/>
    <w:rsid w:val="00B358BB"/>
    <w:rsid w:val="00B35C9E"/>
    <w:rsid w:val="00B40ED7"/>
    <w:rsid w:val="00B42A6A"/>
    <w:rsid w:val="00B4546D"/>
    <w:rsid w:val="00B457BF"/>
    <w:rsid w:val="00B4671F"/>
    <w:rsid w:val="00B46E6A"/>
    <w:rsid w:val="00B4772E"/>
    <w:rsid w:val="00B50697"/>
    <w:rsid w:val="00B55024"/>
    <w:rsid w:val="00B553C5"/>
    <w:rsid w:val="00B5670F"/>
    <w:rsid w:val="00B60731"/>
    <w:rsid w:val="00B62D36"/>
    <w:rsid w:val="00B65CE2"/>
    <w:rsid w:val="00B671A3"/>
    <w:rsid w:val="00B70AB8"/>
    <w:rsid w:val="00B72860"/>
    <w:rsid w:val="00B73805"/>
    <w:rsid w:val="00B751B2"/>
    <w:rsid w:val="00B80836"/>
    <w:rsid w:val="00B82971"/>
    <w:rsid w:val="00B871FF"/>
    <w:rsid w:val="00B87776"/>
    <w:rsid w:val="00B94028"/>
    <w:rsid w:val="00B964A1"/>
    <w:rsid w:val="00B96AA0"/>
    <w:rsid w:val="00B97909"/>
    <w:rsid w:val="00BA0855"/>
    <w:rsid w:val="00BA1EB6"/>
    <w:rsid w:val="00BA20C0"/>
    <w:rsid w:val="00BA2143"/>
    <w:rsid w:val="00BA2F63"/>
    <w:rsid w:val="00BA3380"/>
    <w:rsid w:val="00BA44E9"/>
    <w:rsid w:val="00BA68C3"/>
    <w:rsid w:val="00BA7A19"/>
    <w:rsid w:val="00BB2D94"/>
    <w:rsid w:val="00BB3836"/>
    <w:rsid w:val="00BB768A"/>
    <w:rsid w:val="00BC1C6F"/>
    <w:rsid w:val="00BC20C5"/>
    <w:rsid w:val="00BC2C1D"/>
    <w:rsid w:val="00BC35D0"/>
    <w:rsid w:val="00BC3752"/>
    <w:rsid w:val="00BD288A"/>
    <w:rsid w:val="00BD7BF3"/>
    <w:rsid w:val="00BE1261"/>
    <w:rsid w:val="00BE2B03"/>
    <w:rsid w:val="00BE302C"/>
    <w:rsid w:val="00BE540D"/>
    <w:rsid w:val="00BF0E2D"/>
    <w:rsid w:val="00BF358E"/>
    <w:rsid w:val="00BF4018"/>
    <w:rsid w:val="00BF46D1"/>
    <w:rsid w:val="00BF57AF"/>
    <w:rsid w:val="00C01AC3"/>
    <w:rsid w:val="00C031AD"/>
    <w:rsid w:val="00C03B77"/>
    <w:rsid w:val="00C11134"/>
    <w:rsid w:val="00C12F8C"/>
    <w:rsid w:val="00C144F8"/>
    <w:rsid w:val="00C15C73"/>
    <w:rsid w:val="00C15E4E"/>
    <w:rsid w:val="00C16CA0"/>
    <w:rsid w:val="00C16CC0"/>
    <w:rsid w:val="00C1780B"/>
    <w:rsid w:val="00C22268"/>
    <w:rsid w:val="00C22AEB"/>
    <w:rsid w:val="00C23D18"/>
    <w:rsid w:val="00C31495"/>
    <w:rsid w:val="00C34460"/>
    <w:rsid w:val="00C3447E"/>
    <w:rsid w:val="00C356BF"/>
    <w:rsid w:val="00C36542"/>
    <w:rsid w:val="00C411B4"/>
    <w:rsid w:val="00C44044"/>
    <w:rsid w:val="00C461E4"/>
    <w:rsid w:val="00C478E6"/>
    <w:rsid w:val="00C52951"/>
    <w:rsid w:val="00C5302C"/>
    <w:rsid w:val="00C63B9E"/>
    <w:rsid w:val="00C65504"/>
    <w:rsid w:val="00C729EF"/>
    <w:rsid w:val="00C7768B"/>
    <w:rsid w:val="00C870F7"/>
    <w:rsid w:val="00C90AD0"/>
    <w:rsid w:val="00C93251"/>
    <w:rsid w:val="00C93BEE"/>
    <w:rsid w:val="00C965E0"/>
    <w:rsid w:val="00C96B27"/>
    <w:rsid w:val="00CA352B"/>
    <w:rsid w:val="00CA4153"/>
    <w:rsid w:val="00CA4DBA"/>
    <w:rsid w:val="00CB0FB0"/>
    <w:rsid w:val="00CB1181"/>
    <w:rsid w:val="00CB5DA1"/>
    <w:rsid w:val="00CC0785"/>
    <w:rsid w:val="00CC1007"/>
    <w:rsid w:val="00CC3F91"/>
    <w:rsid w:val="00CC40DE"/>
    <w:rsid w:val="00CD054A"/>
    <w:rsid w:val="00CD559D"/>
    <w:rsid w:val="00CE2670"/>
    <w:rsid w:val="00CE271C"/>
    <w:rsid w:val="00CE3F3B"/>
    <w:rsid w:val="00CE6544"/>
    <w:rsid w:val="00CE6851"/>
    <w:rsid w:val="00CE75E1"/>
    <w:rsid w:val="00CE7C2D"/>
    <w:rsid w:val="00CF0794"/>
    <w:rsid w:val="00CF1227"/>
    <w:rsid w:val="00CF1DD2"/>
    <w:rsid w:val="00CF513F"/>
    <w:rsid w:val="00CF54F9"/>
    <w:rsid w:val="00CF5DEA"/>
    <w:rsid w:val="00CF7C07"/>
    <w:rsid w:val="00CF7D52"/>
    <w:rsid w:val="00D0068B"/>
    <w:rsid w:val="00D01171"/>
    <w:rsid w:val="00D0642A"/>
    <w:rsid w:val="00D11136"/>
    <w:rsid w:val="00D11D97"/>
    <w:rsid w:val="00D12F45"/>
    <w:rsid w:val="00D13239"/>
    <w:rsid w:val="00D15306"/>
    <w:rsid w:val="00D2426E"/>
    <w:rsid w:val="00D25D86"/>
    <w:rsid w:val="00D31B79"/>
    <w:rsid w:val="00D344F0"/>
    <w:rsid w:val="00D34FFE"/>
    <w:rsid w:val="00D36BF9"/>
    <w:rsid w:val="00D41B09"/>
    <w:rsid w:val="00D42D30"/>
    <w:rsid w:val="00D4650A"/>
    <w:rsid w:val="00D477D2"/>
    <w:rsid w:val="00D5072A"/>
    <w:rsid w:val="00D54E37"/>
    <w:rsid w:val="00D56C04"/>
    <w:rsid w:val="00D57676"/>
    <w:rsid w:val="00D63A21"/>
    <w:rsid w:val="00D64CE7"/>
    <w:rsid w:val="00D64D1C"/>
    <w:rsid w:val="00D65E41"/>
    <w:rsid w:val="00D65F68"/>
    <w:rsid w:val="00D73131"/>
    <w:rsid w:val="00D731FD"/>
    <w:rsid w:val="00D73E7A"/>
    <w:rsid w:val="00D75511"/>
    <w:rsid w:val="00D762B1"/>
    <w:rsid w:val="00D81204"/>
    <w:rsid w:val="00D81CA1"/>
    <w:rsid w:val="00D82BFC"/>
    <w:rsid w:val="00D8545B"/>
    <w:rsid w:val="00D92775"/>
    <w:rsid w:val="00DA588F"/>
    <w:rsid w:val="00DB0AD5"/>
    <w:rsid w:val="00DB35AA"/>
    <w:rsid w:val="00DB507F"/>
    <w:rsid w:val="00DB5B2C"/>
    <w:rsid w:val="00DB6E6D"/>
    <w:rsid w:val="00DB7791"/>
    <w:rsid w:val="00DC5E90"/>
    <w:rsid w:val="00DC6E54"/>
    <w:rsid w:val="00DD5A1E"/>
    <w:rsid w:val="00DD639E"/>
    <w:rsid w:val="00DD6BBC"/>
    <w:rsid w:val="00DE682B"/>
    <w:rsid w:val="00DF2212"/>
    <w:rsid w:val="00DF3BD1"/>
    <w:rsid w:val="00E011FE"/>
    <w:rsid w:val="00E025DD"/>
    <w:rsid w:val="00E02886"/>
    <w:rsid w:val="00E05489"/>
    <w:rsid w:val="00E068D2"/>
    <w:rsid w:val="00E076D4"/>
    <w:rsid w:val="00E11270"/>
    <w:rsid w:val="00E12BFA"/>
    <w:rsid w:val="00E13667"/>
    <w:rsid w:val="00E163A2"/>
    <w:rsid w:val="00E21333"/>
    <w:rsid w:val="00E227DD"/>
    <w:rsid w:val="00E239DE"/>
    <w:rsid w:val="00E25248"/>
    <w:rsid w:val="00E25708"/>
    <w:rsid w:val="00E314F7"/>
    <w:rsid w:val="00E32F2A"/>
    <w:rsid w:val="00E36F3E"/>
    <w:rsid w:val="00E37447"/>
    <w:rsid w:val="00E41C28"/>
    <w:rsid w:val="00E4259C"/>
    <w:rsid w:val="00E42B81"/>
    <w:rsid w:val="00E44752"/>
    <w:rsid w:val="00E504A0"/>
    <w:rsid w:val="00E51893"/>
    <w:rsid w:val="00E54DF1"/>
    <w:rsid w:val="00E557A7"/>
    <w:rsid w:val="00E60E11"/>
    <w:rsid w:val="00E61F38"/>
    <w:rsid w:val="00E65C09"/>
    <w:rsid w:val="00E67253"/>
    <w:rsid w:val="00E71569"/>
    <w:rsid w:val="00E71A57"/>
    <w:rsid w:val="00E71DDB"/>
    <w:rsid w:val="00E72432"/>
    <w:rsid w:val="00E8010D"/>
    <w:rsid w:val="00E80D92"/>
    <w:rsid w:val="00E8440C"/>
    <w:rsid w:val="00E847EC"/>
    <w:rsid w:val="00E849D2"/>
    <w:rsid w:val="00E84EA3"/>
    <w:rsid w:val="00E90316"/>
    <w:rsid w:val="00E915F4"/>
    <w:rsid w:val="00E9297F"/>
    <w:rsid w:val="00E955D9"/>
    <w:rsid w:val="00E95C6F"/>
    <w:rsid w:val="00E96D9C"/>
    <w:rsid w:val="00E96EE6"/>
    <w:rsid w:val="00EA2899"/>
    <w:rsid w:val="00EA2BEB"/>
    <w:rsid w:val="00EA5482"/>
    <w:rsid w:val="00EA6D85"/>
    <w:rsid w:val="00EB0EEE"/>
    <w:rsid w:val="00EB3045"/>
    <w:rsid w:val="00EB375B"/>
    <w:rsid w:val="00EC0520"/>
    <w:rsid w:val="00EC213D"/>
    <w:rsid w:val="00EC3C0F"/>
    <w:rsid w:val="00EC6CD5"/>
    <w:rsid w:val="00EC7778"/>
    <w:rsid w:val="00ED0B2A"/>
    <w:rsid w:val="00ED2827"/>
    <w:rsid w:val="00ED2B25"/>
    <w:rsid w:val="00ED5DD8"/>
    <w:rsid w:val="00EE4857"/>
    <w:rsid w:val="00EE4969"/>
    <w:rsid w:val="00EE5685"/>
    <w:rsid w:val="00EE7291"/>
    <w:rsid w:val="00EF193D"/>
    <w:rsid w:val="00EF76D9"/>
    <w:rsid w:val="00F0183E"/>
    <w:rsid w:val="00F01F86"/>
    <w:rsid w:val="00F05B4B"/>
    <w:rsid w:val="00F05D05"/>
    <w:rsid w:val="00F06062"/>
    <w:rsid w:val="00F06ADE"/>
    <w:rsid w:val="00F101E2"/>
    <w:rsid w:val="00F1086B"/>
    <w:rsid w:val="00F10CF9"/>
    <w:rsid w:val="00F13FFC"/>
    <w:rsid w:val="00F143C2"/>
    <w:rsid w:val="00F1473D"/>
    <w:rsid w:val="00F242C9"/>
    <w:rsid w:val="00F25624"/>
    <w:rsid w:val="00F26231"/>
    <w:rsid w:val="00F26A4A"/>
    <w:rsid w:val="00F26A8E"/>
    <w:rsid w:val="00F301D4"/>
    <w:rsid w:val="00F306CB"/>
    <w:rsid w:val="00F326B0"/>
    <w:rsid w:val="00F348FE"/>
    <w:rsid w:val="00F34F43"/>
    <w:rsid w:val="00F36434"/>
    <w:rsid w:val="00F400F6"/>
    <w:rsid w:val="00F42241"/>
    <w:rsid w:val="00F43845"/>
    <w:rsid w:val="00F44079"/>
    <w:rsid w:val="00F4447D"/>
    <w:rsid w:val="00F4541E"/>
    <w:rsid w:val="00F50E82"/>
    <w:rsid w:val="00F51E87"/>
    <w:rsid w:val="00F5211A"/>
    <w:rsid w:val="00F5303D"/>
    <w:rsid w:val="00F530A7"/>
    <w:rsid w:val="00F54AB3"/>
    <w:rsid w:val="00F65809"/>
    <w:rsid w:val="00F67F4A"/>
    <w:rsid w:val="00F72B09"/>
    <w:rsid w:val="00F76460"/>
    <w:rsid w:val="00F76EED"/>
    <w:rsid w:val="00F77015"/>
    <w:rsid w:val="00F77B2F"/>
    <w:rsid w:val="00F803D9"/>
    <w:rsid w:val="00F82519"/>
    <w:rsid w:val="00F82964"/>
    <w:rsid w:val="00F837FA"/>
    <w:rsid w:val="00F858A6"/>
    <w:rsid w:val="00F8687D"/>
    <w:rsid w:val="00F86C3A"/>
    <w:rsid w:val="00F95AD1"/>
    <w:rsid w:val="00F9747A"/>
    <w:rsid w:val="00FA0203"/>
    <w:rsid w:val="00FA1FC8"/>
    <w:rsid w:val="00FA4D2B"/>
    <w:rsid w:val="00FA61CB"/>
    <w:rsid w:val="00FB0BA3"/>
    <w:rsid w:val="00FB2966"/>
    <w:rsid w:val="00FB3D12"/>
    <w:rsid w:val="00FB52E9"/>
    <w:rsid w:val="00FB7F8C"/>
    <w:rsid w:val="00FC0108"/>
    <w:rsid w:val="00FC2111"/>
    <w:rsid w:val="00FD39FC"/>
    <w:rsid w:val="00FD459A"/>
    <w:rsid w:val="00FD58F2"/>
    <w:rsid w:val="00FD64EC"/>
    <w:rsid w:val="00FE1E46"/>
    <w:rsid w:val="00FE5E02"/>
    <w:rsid w:val="00FE5E92"/>
    <w:rsid w:val="00FF022B"/>
    <w:rsid w:val="00FF145F"/>
    <w:rsid w:val="00FF3FC8"/>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A595F"/>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paragraph" w:styleId="NormalWeb">
    <w:name w:val="Normal (Web)"/>
    <w:basedOn w:val="Normal"/>
    <w:uiPriority w:val="99"/>
    <w:unhideWhenUsed/>
    <w:rsid w:val="007E5F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0FB"/>
    <w:rPr>
      <w:color w:val="800080" w:themeColor="followedHyperlink"/>
      <w:u w:val="single"/>
    </w:rPr>
  </w:style>
  <w:style w:type="character" w:styleId="Emphasis">
    <w:name w:val="Emphasis"/>
    <w:basedOn w:val="DefaultParagraphFont"/>
    <w:uiPriority w:val="20"/>
    <w:qFormat/>
    <w:rsid w:val="00CE6851"/>
    <w:rPr>
      <w:i/>
      <w:iCs/>
    </w:rPr>
  </w:style>
  <w:style w:type="character" w:styleId="CommentReference">
    <w:name w:val="annotation reference"/>
    <w:basedOn w:val="DefaultParagraphFont"/>
    <w:uiPriority w:val="99"/>
    <w:semiHidden/>
    <w:unhideWhenUsed/>
    <w:rsid w:val="001B57CF"/>
    <w:rPr>
      <w:sz w:val="16"/>
      <w:szCs w:val="16"/>
    </w:rPr>
  </w:style>
  <w:style w:type="paragraph" w:styleId="CommentText">
    <w:name w:val="annotation text"/>
    <w:basedOn w:val="Normal"/>
    <w:link w:val="CommentTextChar"/>
    <w:uiPriority w:val="99"/>
    <w:semiHidden/>
    <w:unhideWhenUsed/>
    <w:rsid w:val="001B57CF"/>
    <w:pPr>
      <w:spacing w:line="240" w:lineRule="auto"/>
    </w:pPr>
    <w:rPr>
      <w:sz w:val="20"/>
      <w:szCs w:val="20"/>
    </w:rPr>
  </w:style>
  <w:style w:type="character" w:customStyle="1" w:styleId="CommentTextChar">
    <w:name w:val="Comment Text Char"/>
    <w:basedOn w:val="DefaultParagraphFont"/>
    <w:link w:val="CommentText"/>
    <w:uiPriority w:val="99"/>
    <w:semiHidden/>
    <w:rsid w:val="001B57CF"/>
    <w:rPr>
      <w:sz w:val="20"/>
      <w:szCs w:val="20"/>
    </w:rPr>
  </w:style>
  <w:style w:type="character" w:customStyle="1" w:styleId="UnresolvedMention1">
    <w:name w:val="Unresolved Mention1"/>
    <w:basedOn w:val="DefaultParagraphFont"/>
    <w:uiPriority w:val="99"/>
    <w:semiHidden/>
    <w:unhideWhenUsed/>
    <w:rsid w:val="00575711"/>
    <w:rPr>
      <w:color w:val="605E5C"/>
      <w:shd w:val="clear" w:color="auto" w:fill="E1DFDD"/>
    </w:rPr>
  </w:style>
  <w:style w:type="paragraph" w:styleId="Revision">
    <w:name w:val="Revision"/>
    <w:hidden/>
    <w:uiPriority w:val="99"/>
    <w:semiHidden/>
    <w:rsid w:val="00A06F6D"/>
    <w:pPr>
      <w:spacing w:after="0" w:line="240" w:lineRule="auto"/>
    </w:pPr>
  </w:style>
  <w:style w:type="paragraph" w:styleId="CommentSubject">
    <w:name w:val="annotation subject"/>
    <w:basedOn w:val="CommentText"/>
    <w:next w:val="CommentText"/>
    <w:link w:val="CommentSubjectChar"/>
    <w:uiPriority w:val="99"/>
    <w:semiHidden/>
    <w:unhideWhenUsed/>
    <w:rsid w:val="00C16CA0"/>
    <w:rPr>
      <w:b/>
      <w:bCs/>
    </w:rPr>
  </w:style>
  <w:style w:type="character" w:customStyle="1" w:styleId="CommentSubjectChar">
    <w:name w:val="Comment Subject Char"/>
    <w:basedOn w:val="CommentTextChar"/>
    <w:link w:val="CommentSubject"/>
    <w:uiPriority w:val="99"/>
    <w:semiHidden/>
    <w:rsid w:val="00C16CA0"/>
    <w:rPr>
      <w:b/>
      <w:bCs/>
      <w:sz w:val="20"/>
      <w:szCs w:val="20"/>
    </w:rPr>
  </w:style>
  <w:style w:type="character" w:customStyle="1" w:styleId="UnresolvedMention2">
    <w:name w:val="Unresolved Mention2"/>
    <w:basedOn w:val="DefaultParagraphFont"/>
    <w:uiPriority w:val="99"/>
    <w:semiHidden/>
    <w:unhideWhenUsed/>
    <w:rsid w:val="00126CEF"/>
    <w:rPr>
      <w:color w:val="605E5C"/>
      <w:shd w:val="clear" w:color="auto" w:fill="E1DFDD"/>
    </w:rPr>
  </w:style>
  <w:style w:type="character" w:styleId="UnresolvedMention">
    <w:name w:val="Unresolved Mention"/>
    <w:basedOn w:val="DefaultParagraphFont"/>
    <w:uiPriority w:val="99"/>
    <w:semiHidden/>
    <w:unhideWhenUsed/>
    <w:rsid w:val="00266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66352641">
      <w:bodyDiv w:val="1"/>
      <w:marLeft w:val="0"/>
      <w:marRight w:val="0"/>
      <w:marTop w:val="0"/>
      <w:marBottom w:val="0"/>
      <w:divBdr>
        <w:top w:val="none" w:sz="0" w:space="0" w:color="auto"/>
        <w:left w:val="none" w:sz="0" w:space="0" w:color="auto"/>
        <w:bottom w:val="none" w:sz="0" w:space="0" w:color="auto"/>
        <w:right w:val="none" w:sz="0" w:space="0" w:color="auto"/>
      </w:divBdr>
    </w:div>
    <w:div w:id="323824414">
      <w:bodyDiv w:val="1"/>
      <w:marLeft w:val="0"/>
      <w:marRight w:val="0"/>
      <w:marTop w:val="0"/>
      <w:marBottom w:val="0"/>
      <w:divBdr>
        <w:top w:val="none" w:sz="0" w:space="0" w:color="auto"/>
        <w:left w:val="none" w:sz="0" w:space="0" w:color="auto"/>
        <w:bottom w:val="none" w:sz="0" w:space="0" w:color="auto"/>
        <w:right w:val="none" w:sz="0" w:space="0" w:color="auto"/>
      </w:divBdr>
    </w:div>
    <w:div w:id="528685407">
      <w:bodyDiv w:val="1"/>
      <w:marLeft w:val="0"/>
      <w:marRight w:val="0"/>
      <w:marTop w:val="0"/>
      <w:marBottom w:val="0"/>
      <w:divBdr>
        <w:top w:val="none" w:sz="0" w:space="0" w:color="auto"/>
        <w:left w:val="none" w:sz="0" w:space="0" w:color="auto"/>
        <w:bottom w:val="none" w:sz="0" w:space="0" w:color="auto"/>
        <w:right w:val="none" w:sz="0" w:space="0" w:color="auto"/>
      </w:divBdr>
    </w:div>
    <w:div w:id="649602836">
      <w:bodyDiv w:val="1"/>
      <w:marLeft w:val="0"/>
      <w:marRight w:val="0"/>
      <w:marTop w:val="0"/>
      <w:marBottom w:val="0"/>
      <w:divBdr>
        <w:top w:val="none" w:sz="0" w:space="0" w:color="auto"/>
        <w:left w:val="none" w:sz="0" w:space="0" w:color="auto"/>
        <w:bottom w:val="none" w:sz="0" w:space="0" w:color="auto"/>
        <w:right w:val="none" w:sz="0" w:space="0" w:color="auto"/>
      </w:divBdr>
    </w:div>
    <w:div w:id="779764195">
      <w:bodyDiv w:val="1"/>
      <w:marLeft w:val="0"/>
      <w:marRight w:val="0"/>
      <w:marTop w:val="0"/>
      <w:marBottom w:val="0"/>
      <w:divBdr>
        <w:top w:val="none" w:sz="0" w:space="0" w:color="auto"/>
        <w:left w:val="none" w:sz="0" w:space="0" w:color="auto"/>
        <w:bottom w:val="none" w:sz="0" w:space="0" w:color="auto"/>
        <w:right w:val="none" w:sz="0" w:space="0" w:color="auto"/>
      </w:divBdr>
    </w:div>
    <w:div w:id="1094668925">
      <w:bodyDiv w:val="1"/>
      <w:marLeft w:val="0"/>
      <w:marRight w:val="0"/>
      <w:marTop w:val="0"/>
      <w:marBottom w:val="0"/>
      <w:divBdr>
        <w:top w:val="none" w:sz="0" w:space="0" w:color="auto"/>
        <w:left w:val="none" w:sz="0" w:space="0" w:color="auto"/>
        <w:bottom w:val="none" w:sz="0" w:space="0" w:color="auto"/>
        <w:right w:val="none" w:sz="0" w:space="0" w:color="auto"/>
      </w:divBdr>
    </w:div>
    <w:div w:id="1236819840">
      <w:bodyDiv w:val="1"/>
      <w:marLeft w:val="0"/>
      <w:marRight w:val="0"/>
      <w:marTop w:val="0"/>
      <w:marBottom w:val="0"/>
      <w:divBdr>
        <w:top w:val="none" w:sz="0" w:space="0" w:color="auto"/>
        <w:left w:val="none" w:sz="0" w:space="0" w:color="auto"/>
        <w:bottom w:val="none" w:sz="0" w:space="0" w:color="auto"/>
        <w:right w:val="none" w:sz="0" w:space="0" w:color="auto"/>
      </w:divBdr>
    </w:div>
    <w:div w:id="156113514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56200036">
      <w:bodyDiv w:val="1"/>
      <w:marLeft w:val="0"/>
      <w:marRight w:val="0"/>
      <w:marTop w:val="0"/>
      <w:marBottom w:val="0"/>
      <w:divBdr>
        <w:top w:val="none" w:sz="0" w:space="0" w:color="auto"/>
        <w:left w:val="none" w:sz="0" w:space="0" w:color="auto"/>
        <w:bottom w:val="none" w:sz="0" w:space="0" w:color="auto"/>
        <w:right w:val="none" w:sz="0" w:space="0" w:color="auto"/>
      </w:divBdr>
    </w:div>
    <w:div w:id="1818569467">
      <w:bodyDiv w:val="1"/>
      <w:marLeft w:val="0"/>
      <w:marRight w:val="0"/>
      <w:marTop w:val="0"/>
      <w:marBottom w:val="0"/>
      <w:divBdr>
        <w:top w:val="none" w:sz="0" w:space="0" w:color="auto"/>
        <w:left w:val="none" w:sz="0" w:space="0" w:color="auto"/>
        <w:bottom w:val="none" w:sz="0" w:space="0" w:color="auto"/>
        <w:right w:val="none" w:sz="0" w:space="0" w:color="auto"/>
      </w:divBdr>
    </w:div>
    <w:div w:id="2067142127">
      <w:bodyDiv w:val="1"/>
      <w:marLeft w:val="0"/>
      <w:marRight w:val="0"/>
      <w:marTop w:val="0"/>
      <w:marBottom w:val="0"/>
      <w:divBdr>
        <w:top w:val="none" w:sz="0" w:space="0" w:color="auto"/>
        <w:left w:val="none" w:sz="0" w:space="0" w:color="auto"/>
        <w:bottom w:val="none" w:sz="0" w:space="0" w:color="auto"/>
        <w:right w:val="none" w:sz="0" w:space="0" w:color="auto"/>
      </w:divBdr>
      <w:divsChild>
        <w:div w:id="521212008">
          <w:marLeft w:val="0"/>
          <w:marRight w:val="0"/>
          <w:marTop w:val="0"/>
          <w:marBottom w:val="0"/>
          <w:divBdr>
            <w:top w:val="none" w:sz="0" w:space="0" w:color="auto"/>
            <w:left w:val="none" w:sz="0" w:space="0" w:color="auto"/>
            <w:bottom w:val="none" w:sz="0" w:space="0" w:color="auto"/>
            <w:right w:val="none" w:sz="0" w:space="0" w:color="auto"/>
          </w:divBdr>
          <w:divsChild>
            <w:div w:id="659113216">
              <w:marLeft w:val="0"/>
              <w:marRight w:val="0"/>
              <w:marTop w:val="0"/>
              <w:marBottom w:val="199"/>
              <w:divBdr>
                <w:top w:val="none" w:sz="0" w:space="0" w:color="auto"/>
                <w:left w:val="none" w:sz="0" w:space="0" w:color="auto"/>
                <w:bottom w:val="none" w:sz="0" w:space="0" w:color="auto"/>
                <w:right w:val="none" w:sz="0" w:space="0" w:color="auto"/>
              </w:divBdr>
              <w:divsChild>
                <w:div w:id="1375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7209">
      <w:bodyDiv w:val="1"/>
      <w:marLeft w:val="0"/>
      <w:marRight w:val="0"/>
      <w:marTop w:val="0"/>
      <w:marBottom w:val="0"/>
      <w:divBdr>
        <w:top w:val="none" w:sz="0" w:space="0" w:color="auto"/>
        <w:left w:val="none" w:sz="0" w:space="0" w:color="auto"/>
        <w:bottom w:val="none" w:sz="0" w:space="0" w:color="auto"/>
        <w:right w:val="none" w:sz="0" w:space="0" w:color="auto"/>
      </w:divBdr>
      <w:divsChild>
        <w:div w:id="32508085">
          <w:marLeft w:val="0"/>
          <w:marRight w:val="0"/>
          <w:marTop w:val="0"/>
          <w:marBottom w:val="0"/>
          <w:divBdr>
            <w:top w:val="none" w:sz="0" w:space="0" w:color="auto"/>
            <w:left w:val="none" w:sz="0" w:space="0" w:color="auto"/>
            <w:bottom w:val="none" w:sz="0" w:space="0" w:color="auto"/>
            <w:right w:val="none" w:sz="0" w:space="0" w:color="auto"/>
          </w:divBdr>
          <w:divsChild>
            <w:div w:id="522599762">
              <w:marLeft w:val="0"/>
              <w:marRight w:val="0"/>
              <w:marTop w:val="0"/>
              <w:marBottom w:val="199"/>
              <w:divBdr>
                <w:top w:val="none" w:sz="0" w:space="0" w:color="auto"/>
                <w:left w:val="none" w:sz="0" w:space="0" w:color="auto"/>
                <w:bottom w:val="none" w:sz="0" w:space="0" w:color="auto"/>
                <w:right w:val="none" w:sz="0" w:space="0" w:color="auto"/>
              </w:divBdr>
              <w:divsChild>
                <w:div w:id="12407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2015@gsb.columbia.edu" TargetMode="External"/><Relationship Id="rId13" Type="http://schemas.openxmlformats.org/officeDocument/2006/relationships/hyperlink" Target="https://www.morganstanley.com/content/dam/msdotcom/ideas/sustainable-investing-offers-financial-performance-lowered-risk/Sustainable_Reality_Analyzing_Risk_and_Returns_of_Sustainable_Funds.pdf" TargetMode="External"/><Relationship Id="rId18" Type="http://schemas.openxmlformats.org/officeDocument/2006/relationships/hyperlink" Target="https://hbsp.harvard.edu/tu/1628f1da" TargetMode="External"/><Relationship Id="rId3" Type="http://schemas.openxmlformats.org/officeDocument/2006/relationships/styles" Target="styles.xml"/><Relationship Id="rId21" Type="http://schemas.openxmlformats.org/officeDocument/2006/relationships/hyperlink" Target="https://www.blackrock.com/us/individual/2021-larry-fink-ceo-letter?" TargetMode="External"/><Relationship Id="rId7" Type="http://schemas.openxmlformats.org/officeDocument/2006/relationships/endnotes" Target="endnotes.xml"/><Relationship Id="rId12" Type="http://schemas.openxmlformats.org/officeDocument/2006/relationships/hyperlink" Target="https://www.msci.com/documents/1296102/21901542/MSCI+ESG+Ratings+Methodology+-+Exec+Summary+Nov+2020.pdf" TargetMode="External"/><Relationship Id="rId17" Type="http://schemas.openxmlformats.org/officeDocument/2006/relationships/hyperlink" Target="https://hbsp.harvard.edu/tu/6c6eaf6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bsp.harvard.edu/tu/4be2b02f" TargetMode="External"/><Relationship Id="rId20" Type="http://schemas.openxmlformats.org/officeDocument/2006/relationships/hyperlink" Target="https://www.aqr.com/Insights/Research/Alternative-Thinking/Responsible-Asset-Selection-ESG-in-Portfolio-Deci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gmason.com/content/dam/legg-mason/documents/en/insights-and-education/whitepaper/lm-qs-the-devil-is-in-the-details-091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r.netflix.net/governance/ESG/default.aspx" TargetMode="External"/><Relationship Id="rId23" Type="http://schemas.openxmlformats.org/officeDocument/2006/relationships/footer" Target="footer1.xml"/><Relationship Id="rId10" Type="http://schemas.openxmlformats.org/officeDocument/2006/relationships/hyperlink" Target="https://papers.ssrn.com/sol3/papers.cfm?abstract_id=3420297" TargetMode="External"/><Relationship Id="rId19" Type="http://schemas.openxmlformats.org/officeDocument/2006/relationships/hyperlink" Target="https://www.aqr.com/Insights/Research/White-Papers/Clearing-the-Air-Responsible-Investment" TargetMode="External"/><Relationship Id="rId4" Type="http://schemas.openxmlformats.org/officeDocument/2006/relationships/settings" Target="settings.xml"/><Relationship Id="rId9" Type="http://schemas.openxmlformats.org/officeDocument/2006/relationships/hyperlink" Target="https://www.advisorperspectives.com/articles/2020/02/24/on-climate-and-conscience-an-essay-and-pamphlet" TargetMode="External"/><Relationship Id="rId14" Type="http://schemas.openxmlformats.org/officeDocument/2006/relationships/hyperlink" Target="https://www.morningstar.com/content/dam/marketing/shared/pdfs/Research/ESG_Indexes_Risk_Analysis_February2020.pdf?utm_source=eloqua&amp;utm_medium=email&amp;utm_campaign=&amp;utm_content=2048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2B296-6B41-4934-ACA4-C3B073B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 Leticia</dc:creator>
  <cp:lastModifiedBy>Friedman,  Elisabeth</cp:lastModifiedBy>
  <cp:revision>3</cp:revision>
  <cp:lastPrinted>2022-07-06T18:46:00Z</cp:lastPrinted>
  <dcterms:created xsi:type="dcterms:W3CDTF">2022-07-06T18:49:00Z</dcterms:created>
  <dcterms:modified xsi:type="dcterms:W3CDTF">2022-07-06T22:12:00Z</dcterms:modified>
</cp:coreProperties>
</file>