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9C48" w14:textId="77777777" w:rsidR="00535F4E" w:rsidRPr="006575ED" w:rsidRDefault="002F07BC" w:rsidP="00B96B85">
      <w:pPr>
        <w:spacing w:after="0"/>
        <w:jc w:val="center"/>
        <w:rPr>
          <w:b/>
          <w:sz w:val="28"/>
          <w:szCs w:val="28"/>
        </w:rPr>
      </w:pPr>
      <w:r>
        <w:rPr>
          <w:b/>
          <w:sz w:val="28"/>
          <w:szCs w:val="28"/>
        </w:rPr>
        <w:t>Practice of Wealth Management for High Net Worth Clients</w:t>
      </w:r>
    </w:p>
    <w:p w14:paraId="4EC25CF5" w14:textId="77777777" w:rsidR="006575ED" w:rsidRPr="006575ED" w:rsidRDefault="006575ED" w:rsidP="00535F4E">
      <w:pPr>
        <w:jc w:val="center"/>
        <w:rPr>
          <w:b/>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636EF" w:rsidRPr="006575ED" w14:paraId="6B1AD4DB" w14:textId="77777777" w:rsidTr="00A636EF">
        <w:tc>
          <w:tcPr>
            <w:tcW w:w="5395" w:type="dxa"/>
          </w:tcPr>
          <w:p w14:paraId="117504F0" w14:textId="77777777" w:rsidR="00A636EF" w:rsidRPr="006575ED" w:rsidRDefault="009041DF" w:rsidP="00A636EF">
            <w:pPr>
              <w:rPr>
                <w:b/>
              </w:rPr>
            </w:pPr>
            <w:r>
              <w:rPr>
                <w:b/>
              </w:rPr>
              <w:t xml:space="preserve">Professor </w:t>
            </w:r>
            <w:r w:rsidR="00FF5020">
              <w:rPr>
                <w:b/>
              </w:rPr>
              <w:t>Maria Brisbane</w:t>
            </w:r>
          </w:p>
          <w:p w14:paraId="514B2E2C" w14:textId="77777777" w:rsidR="00A636EF" w:rsidRPr="006575ED" w:rsidRDefault="00A636EF" w:rsidP="00A636EF">
            <w:r w:rsidRPr="006575ED">
              <w:t>Professor Office Location:</w:t>
            </w:r>
            <w:r w:rsidR="009041DF">
              <w:t xml:space="preserve"> </w:t>
            </w:r>
          </w:p>
          <w:p w14:paraId="7D38C1B7" w14:textId="5D29429C" w:rsidR="00A636EF" w:rsidRPr="006575ED" w:rsidRDefault="00A636EF" w:rsidP="00A636EF">
            <w:r w:rsidRPr="006575ED">
              <w:t xml:space="preserve">E-mail:   </w:t>
            </w:r>
            <w:r w:rsidR="00933E67">
              <w:t>mlb2270@columbia.edu</w:t>
            </w:r>
          </w:p>
          <w:p w14:paraId="056C7EE6" w14:textId="34C46C11" w:rsidR="00A636EF" w:rsidRPr="00193D58" w:rsidRDefault="00A636EF" w:rsidP="0080503A">
            <w:pPr>
              <w:rPr>
                <w:sz w:val="6"/>
              </w:rPr>
            </w:pPr>
            <w:r w:rsidRPr="006575ED">
              <w:t xml:space="preserve">Office Hours:   </w:t>
            </w:r>
            <w:r w:rsidR="00933E67">
              <w:t>By appointment</w:t>
            </w:r>
          </w:p>
        </w:tc>
        <w:tc>
          <w:tcPr>
            <w:tcW w:w="5395" w:type="dxa"/>
          </w:tcPr>
          <w:p w14:paraId="2E4CE2F2" w14:textId="77777777" w:rsidR="00443BE1" w:rsidRPr="006575ED" w:rsidRDefault="00443BE1" w:rsidP="00443BE1">
            <w:pPr>
              <w:rPr>
                <w:b/>
              </w:rPr>
            </w:pPr>
            <w:r>
              <w:rPr>
                <w:b/>
              </w:rPr>
              <w:t xml:space="preserve">Professor </w:t>
            </w:r>
            <w:r w:rsidR="00FF5020">
              <w:rPr>
                <w:b/>
              </w:rPr>
              <w:t xml:space="preserve">Alex Zachary </w:t>
            </w:r>
          </w:p>
          <w:p w14:paraId="56AB29E4" w14:textId="77777777" w:rsidR="00443BE1" w:rsidRPr="006575ED" w:rsidRDefault="00443BE1" w:rsidP="00443BE1">
            <w:r w:rsidRPr="006575ED">
              <w:t>Professor Office Location:</w:t>
            </w:r>
            <w:r>
              <w:t xml:space="preserve"> </w:t>
            </w:r>
          </w:p>
          <w:p w14:paraId="77894AA2" w14:textId="12ED4D8A" w:rsidR="00443BE1" w:rsidRPr="006575ED" w:rsidRDefault="00443BE1" w:rsidP="00443BE1">
            <w:r w:rsidRPr="006575ED">
              <w:t xml:space="preserve">E-mail:   </w:t>
            </w:r>
            <w:r w:rsidR="00933E67">
              <w:t>alz2001@columbia.edu</w:t>
            </w:r>
          </w:p>
          <w:p w14:paraId="690124DB" w14:textId="6E72A635" w:rsidR="009041DF" w:rsidRPr="006575ED" w:rsidRDefault="00443BE1" w:rsidP="00443BE1">
            <w:r w:rsidRPr="006575ED">
              <w:t xml:space="preserve">Office Hours:   </w:t>
            </w:r>
            <w:r w:rsidR="00933E67">
              <w:t>By appointment</w:t>
            </w:r>
          </w:p>
          <w:p w14:paraId="6BEFD713" w14:textId="77777777" w:rsidR="00A636EF" w:rsidRPr="006575ED" w:rsidRDefault="00A636EF" w:rsidP="00193D58"/>
        </w:tc>
      </w:tr>
    </w:tbl>
    <w:p w14:paraId="7F64D78E" w14:textId="77777777" w:rsidR="006575ED" w:rsidRPr="006575ED" w:rsidRDefault="006575ED" w:rsidP="00A636EF">
      <w:pPr>
        <w:pBdr>
          <w:bottom w:val="single" w:sz="6" w:space="1" w:color="auto"/>
        </w:pBdr>
        <w:jc w:val="center"/>
        <w:rPr>
          <w:sz w:val="6"/>
        </w:rPr>
      </w:pPr>
    </w:p>
    <w:p w14:paraId="5AAE687B" w14:textId="77777777" w:rsidR="006575ED" w:rsidRPr="006575ED" w:rsidRDefault="006575ED" w:rsidP="00A636EF">
      <w:pPr>
        <w:pBdr>
          <w:bottom w:val="single" w:sz="6" w:space="1" w:color="auto"/>
        </w:pBdr>
        <w:jc w:val="center"/>
        <w:rPr>
          <w:sz w:val="2"/>
        </w:rPr>
      </w:pPr>
    </w:p>
    <w:p w14:paraId="6FEB274C" w14:textId="77777777" w:rsidR="00FC411F" w:rsidRPr="006575ED" w:rsidRDefault="00FC411F" w:rsidP="00A636EF">
      <w:pPr>
        <w:jc w:val="center"/>
        <w:sectPr w:rsidR="00FC411F" w:rsidRPr="006575ED" w:rsidSect="00535F4E">
          <w:headerReference w:type="default" r:id="rId8"/>
          <w:footerReference w:type="default" r:id="rId9"/>
          <w:type w:val="continuous"/>
          <w:pgSz w:w="12240" w:h="15840"/>
          <w:pgMar w:top="1440" w:right="720" w:bottom="1440" w:left="720" w:header="720" w:footer="720" w:gutter="0"/>
          <w:cols w:space="720"/>
          <w:docGrid w:linePitch="360"/>
        </w:sectPr>
      </w:pPr>
    </w:p>
    <w:p w14:paraId="2B4F8F0A" w14:textId="77777777" w:rsidR="00B15BBC" w:rsidRPr="0080503A" w:rsidRDefault="00193D58" w:rsidP="0080503A">
      <w:pPr>
        <w:spacing w:after="0"/>
      </w:pPr>
      <w:r>
        <w:rPr>
          <w:b/>
        </w:rPr>
        <w:t xml:space="preserve">COURSE </w:t>
      </w:r>
      <w:r w:rsidR="00FC411F" w:rsidRPr="006575ED">
        <w:rPr>
          <w:b/>
        </w:rPr>
        <w:t>DESCRIPTION</w:t>
      </w:r>
    </w:p>
    <w:p w14:paraId="262F3300" w14:textId="20844D11" w:rsidR="00356329" w:rsidRPr="00356329" w:rsidRDefault="00356329" w:rsidP="00356329">
      <w:pPr>
        <w:rPr>
          <w:rFonts w:cstheme="minorHAnsi"/>
          <w:sz w:val="24"/>
          <w:szCs w:val="24"/>
        </w:rPr>
      </w:pPr>
      <w:r w:rsidRPr="00356329">
        <w:rPr>
          <w:rFonts w:cstheme="minorHAnsi"/>
          <w:b/>
          <w:sz w:val="24"/>
          <w:szCs w:val="24"/>
        </w:rPr>
        <w:t xml:space="preserve">Maria Brisbane, </w:t>
      </w:r>
      <w:r w:rsidRPr="00356329">
        <w:rPr>
          <w:rFonts w:cstheme="minorHAnsi"/>
          <w:sz w:val="24"/>
          <w:szCs w:val="24"/>
        </w:rPr>
        <w:t xml:space="preserve">Managing Director, </w:t>
      </w:r>
      <w:r w:rsidR="004B5958">
        <w:rPr>
          <w:rFonts w:cstheme="minorHAnsi"/>
          <w:sz w:val="24"/>
          <w:szCs w:val="24"/>
        </w:rPr>
        <w:t>Merrill Private Wealth Management</w:t>
      </w:r>
      <w:r>
        <w:rPr>
          <w:rFonts w:cstheme="minorHAnsi"/>
          <w:sz w:val="24"/>
          <w:szCs w:val="24"/>
        </w:rPr>
        <w:t xml:space="preserve"> and </w:t>
      </w:r>
      <w:r w:rsidRPr="00356329">
        <w:rPr>
          <w:rFonts w:cstheme="minorHAnsi"/>
          <w:b/>
          <w:sz w:val="24"/>
          <w:szCs w:val="24"/>
        </w:rPr>
        <w:t>Alex Zachary</w:t>
      </w:r>
      <w:r>
        <w:rPr>
          <w:rFonts w:cstheme="minorHAnsi"/>
          <w:sz w:val="24"/>
          <w:szCs w:val="24"/>
        </w:rPr>
        <w:t xml:space="preserve">, </w:t>
      </w:r>
      <w:r w:rsidR="004B5958">
        <w:rPr>
          <w:rFonts w:cstheme="minorHAnsi"/>
          <w:color w:val="000000" w:themeColor="text1"/>
          <w:sz w:val="24"/>
          <w:szCs w:val="24"/>
          <w:shd w:val="clear" w:color="auto" w:fill="FFFFFF"/>
        </w:rPr>
        <w:t xml:space="preserve">Vice President, Merrill </w:t>
      </w:r>
      <w:r w:rsidR="00C31309" w:rsidRPr="00C31309">
        <w:rPr>
          <w:rFonts w:cstheme="minorHAnsi"/>
          <w:color w:val="000000" w:themeColor="text1"/>
          <w:sz w:val="24"/>
          <w:szCs w:val="24"/>
          <w:shd w:val="clear" w:color="auto" w:fill="FFFFFF"/>
        </w:rPr>
        <w:t>Private Wealth Management.</w:t>
      </w:r>
    </w:p>
    <w:p w14:paraId="7BC43B99" w14:textId="77777777" w:rsidR="00356329" w:rsidRPr="00356329" w:rsidRDefault="00356329" w:rsidP="00356329">
      <w:pPr>
        <w:jc w:val="both"/>
        <w:rPr>
          <w:rFonts w:cstheme="minorHAnsi"/>
          <w:sz w:val="24"/>
          <w:szCs w:val="24"/>
        </w:rPr>
      </w:pPr>
      <w:r w:rsidRPr="00356329">
        <w:rPr>
          <w:rFonts w:cstheme="minorHAnsi"/>
          <w:sz w:val="24"/>
          <w:szCs w:val="24"/>
        </w:rPr>
        <w:t>The purpose of the course is to provide students with a fundamental understanding of the business and practice of wealth management.  Topics will include an overview of asset management, equity portfolios, stock selection, valuation metrics, mutual funds, ETFs, outside managers, asset allocation, income needs, and illiquid investments.  These subjects will be discussed in the context of the changing macroeconomic environment.</w:t>
      </w:r>
    </w:p>
    <w:p w14:paraId="322F4A0E" w14:textId="77777777" w:rsidR="00356329" w:rsidRPr="00356329" w:rsidRDefault="00356329" w:rsidP="00356329">
      <w:pPr>
        <w:jc w:val="both"/>
        <w:rPr>
          <w:rFonts w:cstheme="minorHAnsi"/>
          <w:sz w:val="24"/>
          <w:szCs w:val="24"/>
        </w:rPr>
      </w:pPr>
      <w:r w:rsidRPr="00356329">
        <w:rPr>
          <w:rFonts w:cstheme="minorHAnsi"/>
          <w:sz w:val="24"/>
          <w:szCs w:val="24"/>
        </w:rPr>
        <w:t>Emphasis will be placed on the importance of relationship management.  Who are the clients?  What are their core values and goals?  We will discuss topics such as money and identity, success and status, family dynamics, and philanthropy.</w:t>
      </w:r>
    </w:p>
    <w:p w14:paraId="5B38BD19" w14:textId="77777777" w:rsidR="00B501EE" w:rsidRPr="00356329" w:rsidRDefault="00356329" w:rsidP="00356329">
      <w:pPr>
        <w:jc w:val="both"/>
        <w:rPr>
          <w:rFonts w:cstheme="minorHAnsi"/>
          <w:sz w:val="24"/>
          <w:szCs w:val="24"/>
        </w:rPr>
      </w:pPr>
      <w:r w:rsidRPr="00356329">
        <w:rPr>
          <w:rFonts w:cstheme="minorHAnsi"/>
          <w:sz w:val="24"/>
          <w:szCs w:val="24"/>
        </w:rPr>
        <w:t>We will also address ways of understanding the purpose of wealth management, and the shifting focus from investment returns to a “goals-based” approach.</w:t>
      </w:r>
    </w:p>
    <w:p w14:paraId="2ABB42E6" w14:textId="77777777" w:rsidR="006575ED" w:rsidRPr="006575ED" w:rsidRDefault="006575ED" w:rsidP="006575ED">
      <w:pPr>
        <w:spacing w:after="0"/>
        <w:rPr>
          <w:b/>
        </w:rPr>
      </w:pPr>
      <w:r w:rsidRPr="006575ED">
        <w:rPr>
          <w:b/>
        </w:rPr>
        <w:t>REQUIRED COURSE MATERIALS</w:t>
      </w:r>
    </w:p>
    <w:p w14:paraId="072DEBC1" w14:textId="77777777" w:rsidR="00C84DE7" w:rsidRPr="00C84DE7" w:rsidRDefault="00C84DE7" w:rsidP="00C84DE7">
      <w:pPr>
        <w:rPr>
          <w:rFonts w:cstheme="minorHAnsi"/>
          <w:sz w:val="24"/>
          <w:szCs w:val="24"/>
        </w:rPr>
      </w:pPr>
      <w:r w:rsidRPr="00C84DE7">
        <w:rPr>
          <w:rFonts w:cstheme="minorHAnsi"/>
          <w:sz w:val="24"/>
          <w:szCs w:val="24"/>
        </w:rPr>
        <w:t xml:space="preserve">Chhabra, Ashvin B., </w:t>
      </w:r>
      <w:r w:rsidRPr="00C84DE7">
        <w:rPr>
          <w:rFonts w:cstheme="minorHAnsi"/>
          <w:i/>
          <w:sz w:val="24"/>
          <w:szCs w:val="24"/>
        </w:rPr>
        <w:t>Aspirational Investor</w:t>
      </w:r>
      <w:r w:rsidRPr="00C84DE7">
        <w:rPr>
          <w:rFonts w:cstheme="minorHAnsi"/>
          <w:sz w:val="24"/>
          <w:szCs w:val="24"/>
        </w:rPr>
        <w:t>. New York: HarperCollins, 2015</w:t>
      </w:r>
    </w:p>
    <w:p w14:paraId="07B9F800" w14:textId="77777777" w:rsidR="001647AB" w:rsidRDefault="001647AB" w:rsidP="00C84CD2">
      <w:pPr>
        <w:spacing w:after="0"/>
        <w:rPr>
          <w:i/>
        </w:rPr>
      </w:pPr>
    </w:p>
    <w:p w14:paraId="046BC3E9" w14:textId="77777777" w:rsidR="00C84CD2" w:rsidRPr="006575ED" w:rsidRDefault="00C84CD2" w:rsidP="00C84CD2">
      <w:pPr>
        <w:spacing w:after="0"/>
        <w:rPr>
          <w:b/>
        </w:rPr>
      </w:pPr>
      <w:r>
        <w:rPr>
          <w:b/>
        </w:rPr>
        <w:t>CONNECTION TO THE CORE</w:t>
      </w:r>
    </w:p>
    <w:p w14:paraId="3547860E" w14:textId="77777777" w:rsidR="00EC3C58" w:rsidRDefault="00EC3C58" w:rsidP="00EC3C58">
      <w:pPr>
        <w:rPr>
          <w:sz w:val="24"/>
          <w:szCs w:val="24"/>
        </w:rPr>
      </w:pPr>
      <w:r>
        <w:rPr>
          <w:sz w:val="24"/>
          <w:szCs w:val="24"/>
        </w:rPr>
        <w:t>Prerequisite: Capital Markets</w:t>
      </w:r>
    </w:p>
    <w:p w14:paraId="13EE9AB5" w14:textId="77777777" w:rsidR="00EC3C58" w:rsidRDefault="00EC3C58" w:rsidP="00EC3C58">
      <w:pPr>
        <w:rPr>
          <w:sz w:val="24"/>
          <w:szCs w:val="24"/>
        </w:rPr>
      </w:pPr>
      <w:r w:rsidRPr="008A0FDF">
        <w:rPr>
          <w:sz w:val="24"/>
          <w:szCs w:val="24"/>
        </w:rPr>
        <w:t xml:space="preserve">The </w:t>
      </w:r>
      <w:r>
        <w:rPr>
          <w:sz w:val="24"/>
          <w:szCs w:val="24"/>
        </w:rPr>
        <w:t>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EC3C58" w:rsidRPr="00654649" w14:paraId="55288766" w14:textId="77777777" w:rsidTr="008E7B79">
        <w:tc>
          <w:tcPr>
            <w:tcW w:w="2898" w:type="dxa"/>
          </w:tcPr>
          <w:p w14:paraId="43B1E081" w14:textId="77777777" w:rsidR="00EC3C58" w:rsidRPr="00654649" w:rsidRDefault="00EC3C58" w:rsidP="008E7B79">
            <w:pPr>
              <w:rPr>
                <w:b/>
              </w:rPr>
            </w:pPr>
            <w:r>
              <w:rPr>
                <w:b/>
              </w:rPr>
              <w:t>Core Course</w:t>
            </w:r>
          </w:p>
        </w:tc>
        <w:tc>
          <w:tcPr>
            <w:tcW w:w="6678" w:type="dxa"/>
          </w:tcPr>
          <w:p w14:paraId="19FE8B09" w14:textId="77777777" w:rsidR="00EC3C58" w:rsidRPr="00654649" w:rsidRDefault="00EC3C58" w:rsidP="008E7B79">
            <w:pPr>
              <w:rPr>
                <w:b/>
              </w:rPr>
            </w:pPr>
            <w:r>
              <w:rPr>
                <w:b/>
              </w:rPr>
              <w:t>Connection with Core</w:t>
            </w:r>
          </w:p>
        </w:tc>
      </w:tr>
      <w:tr w:rsidR="00EC3C58" w14:paraId="0D8CA55E" w14:textId="77777777" w:rsidTr="008E7B79">
        <w:tc>
          <w:tcPr>
            <w:tcW w:w="2898" w:type="dxa"/>
          </w:tcPr>
          <w:p w14:paraId="0EDF3790" w14:textId="77777777" w:rsidR="00EC3C58" w:rsidRDefault="00EC3C58" w:rsidP="008E7B79">
            <w:r>
              <w:t>Corporate Finance</w:t>
            </w:r>
          </w:p>
        </w:tc>
        <w:tc>
          <w:tcPr>
            <w:tcW w:w="6678" w:type="dxa"/>
          </w:tcPr>
          <w:p w14:paraId="24634B2F" w14:textId="77777777" w:rsidR="00EC3C58" w:rsidRDefault="00EC3C58" w:rsidP="008E7B79">
            <w:pPr>
              <w:pStyle w:val="ListParagraph"/>
              <w:numPr>
                <w:ilvl w:val="0"/>
                <w:numId w:val="1"/>
              </w:numPr>
            </w:pPr>
            <w:r>
              <w:t>Cost of Capital</w:t>
            </w:r>
          </w:p>
          <w:p w14:paraId="10480293" w14:textId="77777777" w:rsidR="00EC3C58" w:rsidRDefault="00EC3C58" w:rsidP="008E7B79">
            <w:pPr>
              <w:pStyle w:val="ListParagraph"/>
              <w:numPr>
                <w:ilvl w:val="0"/>
                <w:numId w:val="1"/>
              </w:numPr>
            </w:pPr>
            <w:r>
              <w:t>Valuation</w:t>
            </w:r>
          </w:p>
          <w:p w14:paraId="3597733B" w14:textId="77777777" w:rsidR="00EC3C58" w:rsidRDefault="00EC3C58" w:rsidP="008E7B79">
            <w:pPr>
              <w:pStyle w:val="ListParagraph"/>
              <w:numPr>
                <w:ilvl w:val="0"/>
                <w:numId w:val="1"/>
              </w:numPr>
            </w:pPr>
            <w:r>
              <w:t>Financing Options</w:t>
            </w:r>
          </w:p>
          <w:p w14:paraId="0E2C7042" w14:textId="77777777" w:rsidR="00EC3C58" w:rsidRDefault="00EC3C58" w:rsidP="008E7B79">
            <w:pPr>
              <w:pStyle w:val="ListParagraph"/>
              <w:numPr>
                <w:ilvl w:val="0"/>
                <w:numId w:val="1"/>
              </w:numPr>
            </w:pPr>
            <w:r>
              <w:t>Time value of money</w:t>
            </w:r>
          </w:p>
          <w:p w14:paraId="59DB54F0" w14:textId="77777777" w:rsidR="00EC3C58" w:rsidRDefault="00EC3C58" w:rsidP="008E7B79">
            <w:pPr>
              <w:pStyle w:val="ListParagraph"/>
              <w:numPr>
                <w:ilvl w:val="0"/>
                <w:numId w:val="1"/>
              </w:numPr>
            </w:pPr>
            <w:r>
              <w:t>Opportunity cost (of capital)</w:t>
            </w:r>
          </w:p>
          <w:p w14:paraId="4E566789" w14:textId="77777777" w:rsidR="00EC3C58" w:rsidRDefault="00EC3C58" w:rsidP="008E7B79">
            <w:pPr>
              <w:pStyle w:val="ListParagraph"/>
              <w:numPr>
                <w:ilvl w:val="0"/>
                <w:numId w:val="1"/>
              </w:numPr>
            </w:pPr>
            <w:r>
              <w:t>The Capital Asset Pricing Model (CAPM)</w:t>
            </w:r>
          </w:p>
          <w:p w14:paraId="63CEBF45" w14:textId="77777777" w:rsidR="00EC3C58" w:rsidRDefault="00EC3C58" w:rsidP="008E7B79">
            <w:pPr>
              <w:pStyle w:val="ListParagraph"/>
              <w:numPr>
                <w:ilvl w:val="0"/>
                <w:numId w:val="1"/>
              </w:numPr>
            </w:pPr>
            <w:r>
              <w:t>Firm Valuation Model</w:t>
            </w:r>
          </w:p>
        </w:tc>
      </w:tr>
      <w:tr w:rsidR="003D4622" w14:paraId="3F5D982D" w14:textId="77777777" w:rsidTr="008E7B79">
        <w:tc>
          <w:tcPr>
            <w:tcW w:w="2898" w:type="dxa"/>
          </w:tcPr>
          <w:p w14:paraId="67B0BED1" w14:textId="77777777" w:rsidR="003D4622" w:rsidRDefault="003D4622" w:rsidP="008E7B79">
            <w:r>
              <w:t xml:space="preserve">Managerial Economics </w:t>
            </w:r>
          </w:p>
        </w:tc>
        <w:tc>
          <w:tcPr>
            <w:tcW w:w="6678" w:type="dxa"/>
          </w:tcPr>
          <w:p w14:paraId="0295568F" w14:textId="77777777" w:rsidR="003D4622" w:rsidRDefault="003D4622" w:rsidP="00EC3C58">
            <w:pPr>
              <w:pStyle w:val="ListParagraph"/>
              <w:numPr>
                <w:ilvl w:val="0"/>
                <w:numId w:val="10"/>
              </w:numPr>
              <w:ind w:left="342" w:hanging="342"/>
            </w:pPr>
            <w:r>
              <w:t xml:space="preserve">Barriers to entry </w:t>
            </w:r>
          </w:p>
          <w:p w14:paraId="36265E60" w14:textId="77777777" w:rsidR="003D4622" w:rsidRDefault="003D4622" w:rsidP="00EC3C58">
            <w:pPr>
              <w:pStyle w:val="ListParagraph"/>
              <w:numPr>
                <w:ilvl w:val="0"/>
                <w:numId w:val="10"/>
              </w:numPr>
              <w:ind w:left="342" w:hanging="342"/>
            </w:pPr>
            <w:r>
              <w:lastRenderedPageBreak/>
              <w:t>Moats</w:t>
            </w:r>
          </w:p>
          <w:p w14:paraId="78FF6C14" w14:textId="77777777" w:rsidR="003D4622" w:rsidRDefault="003D4622" w:rsidP="00EC3C58">
            <w:pPr>
              <w:pStyle w:val="ListParagraph"/>
              <w:numPr>
                <w:ilvl w:val="0"/>
                <w:numId w:val="10"/>
              </w:numPr>
              <w:ind w:left="342" w:hanging="342"/>
            </w:pPr>
            <w:r>
              <w:t>Maximization and thinking on the margin</w:t>
            </w:r>
          </w:p>
          <w:p w14:paraId="79E23EFD" w14:textId="77777777" w:rsidR="003D4622" w:rsidRDefault="003D4622" w:rsidP="00EC3C58">
            <w:pPr>
              <w:pStyle w:val="ListParagraph"/>
              <w:numPr>
                <w:ilvl w:val="0"/>
                <w:numId w:val="10"/>
              </w:numPr>
              <w:ind w:left="342" w:hanging="342"/>
            </w:pPr>
            <w:r>
              <w:t xml:space="preserve">Analyzing complex decision-making under uncertainty </w:t>
            </w:r>
          </w:p>
          <w:p w14:paraId="77975656" w14:textId="77777777" w:rsidR="003D4622" w:rsidRDefault="003D4622" w:rsidP="00EC3C58">
            <w:pPr>
              <w:pStyle w:val="ListParagraph"/>
              <w:numPr>
                <w:ilvl w:val="0"/>
                <w:numId w:val="10"/>
              </w:numPr>
              <w:ind w:left="342" w:hanging="342"/>
            </w:pPr>
            <w:r>
              <w:t>Decision-based cost analysis</w:t>
            </w:r>
          </w:p>
          <w:p w14:paraId="03D806C6" w14:textId="77777777" w:rsidR="003D4622" w:rsidRDefault="003D4622" w:rsidP="00EC3C58">
            <w:pPr>
              <w:pStyle w:val="ListParagraph"/>
              <w:numPr>
                <w:ilvl w:val="0"/>
                <w:numId w:val="10"/>
              </w:numPr>
              <w:ind w:left="342" w:hanging="342"/>
            </w:pPr>
            <w:r>
              <w:t>Understanding market competition and equilibrium thinking (in the short-run)</w:t>
            </w:r>
          </w:p>
          <w:p w14:paraId="11889234" w14:textId="77777777" w:rsidR="003D4622" w:rsidRDefault="003D4622" w:rsidP="00EC3C58">
            <w:pPr>
              <w:pStyle w:val="ListParagraph"/>
              <w:numPr>
                <w:ilvl w:val="0"/>
                <w:numId w:val="10"/>
              </w:numPr>
              <w:ind w:left="342" w:hanging="342"/>
            </w:pPr>
            <w:r>
              <w:t>Strategic interaction among firms</w:t>
            </w:r>
          </w:p>
        </w:tc>
      </w:tr>
      <w:tr w:rsidR="00EC3C58" w14:paraId="5F9A8E9E" w14:textId="77777777" w:rsidTr="008E7B79">
        <w:tc>
          <w:tcPr>
            <w:tcW w:w="2898" w:type="dxa"/>
          </w:tcPr>
          <w:p w14:paraId="04A3D489" w14:textId="77777777" w:rsidR="00EC3C58" w:rsidRDefault="00EC3C58" w:rsidP="008E7B79">
            <w:r>
              <w:lastRenderedPageBreak/>
              <w:t>Strategy Formulation</w:t>
            </w:r>
          </w:p>
        </w:tc>
        <w:tc>
          <w:tcPr>
            <w:tcW w:w="6678" w:type="dxa"/>
          </w:tcPr>
          <w:p w14:paraId="1C1D4B9C" w14:textId="77777777" w:rsidR="00EC3C58" w:rsidRDefault="00EC3C58" w:rsidP="00EC3C58">
            <w:pPr>
              <w:pStyle w:val="ListParagraph"/>
              <w:numPr>
                <w:ilvl w:val="0"/>
                <w:numId w:val="10"/>
              </w:numPr>
              <w:ind w:left="342" w:hanging="342"/>
            </w:pPr>
            <w:r>
              <w:t>Trade-offs, value-added, efficiencies</w:t>
            </w:r>
          </w:p>
          <w:p w14:paraId="2AEA7039" w14:textId="77777777" w:rsidR="00EC3C58" w:rsidRDefault="00EC3C58" w:rsidP="00EC3C58">
            <w:pPr>
              <w:pStyle w:val="ListParagraph"/>
              <w:numPr>
                <w:ilvl w:val="0"/>
                <w:numId w:val="10"/>
              </w:numPr>
              <w:ind w:left="342" w:hanging="342"/>
            </w:pPr>
            <w:r>
              <w:t>Creation of value vs. value capture</w:t>
            </w:r>
          </w:p>
          <w:p w14:paraId="7EDFF84B" w14:textId="77777777" w:rsidR="00EC3C58" w:rsidRDefault="00EC3C58" w:rsidP="00EC3C58">
            <w:pPr>
              <w:pStyle w:val="ListParagraph"/>
              <w:numPr>
                <w:ilvl w:val="0"/>
                <w:numId w:val="10"/>
              </w:numPr>
              <w:ind w:left="342" w:hanging="342"/>
            </w:pPr>
            <w:r>
              <w:t>Competing firms</w:t>
            </w:r>
          </w:p>
          <w:p w14:paraId="71456149" w14:textId="77777777" w:rsidR="00EC3C58" w:rsidRDefault="00EC3C58" w:rsidP="00EC3C58">
            <w:pPr>
              <w:pStyle w:val="ListParagraph"/>
              <w:numPr>
                <w:ilvl w:val="0"/>
                <w:numId w:val="10"/>
              </w:numPr>
              <w:ind w:left="342" w:hanging="342"/>
            </w:pPr>
            <w:r>
              <w:t>Co-competition and Complementors</w:t>
            </w:r>
          </w:p>
          <w:p w14:paraId="0DB21A18" w14:textId="77777777" w:rsidR="00EC3C58" w:rsidRDefault="00EC3C58" w:rsidP="00EC3C58">
            <w:pPr>
              <w:pStyle w:val="ListParagraph"/>
              <w:numPr>
                <w:ilvl w:val="0"/>
                <w:numId w:val="10"/>
              </w:numPr>
              <w:ind w:left="342" w:hanging="342"/>
            </w:pPr>
            <w:r>
              <w:t>Strategic interaction analysis</w:t>
            </w:r>
          </w:p>
          <w:p w14:paraId="049FC5D7" w14:textId="77777777" w:rsidR="00EC3C58" w:rsidRDefault="00EC3C58" w:rsidP="00EC3C58">
            <w:pPr>
              <w:pStyle w:val="ListParagraph"/>
              <w:numPr>
                <w:ilvl w:val="0"/>
                <w:numId w:val="10"/>
              </w:numPr>
              <w:ind w:left="342" w:hanging="342"/>
            </w:pPr>
            <w:r>
              <w:t>Diversification and scope</w:t>
            </w:r>
          </w:p>
          <w:p w14:paraId="007588A6" w14:textId="77777777" w:rsidR="00EC3C58" w:rsidRDefault="00EC3C58" w:rsidP="00EC3C58">
            <w:pPr>
              <w:pStyle w:val="ListParagraph"/>
              <w:numPr>
                <w:ilvl w:val="0"/>
                <w:numId w:val="10"/>
              </w:numPr>
              <w:ind w:left="342" w:hanging="342"/>
            </w:pPr>
            <w:r>
              <w:t>Ethics &amp; IBS</w:t>
            </w:r>
          </w:p>
          <w:p w14:paraId="3807FCFB" w14:textId="77777777" w:rsidR="00EC3C58" w:rsidRDefault="00EC3C58" w:rsidP="00EC3C58">
            <w:pPr>
              <w:pStyle w:val="ListParagraph"/>
              <w:numPr>
                <w:ilvl w:val="0"/>
                <w:numId w:val="10"/>
              </w:numPr>
              <w:ind w:left="342" w:hanging="342"/>
            </w:pPr>
            <w:r>
              <w:t>Behavioral and evidence-based strategy</w:t>
            </w:r>
          </w:p>
          <w:p w14:paraId="2580F743" w14:textId="77777777" w:rsidR="00EC3C58" w:rsidRDefault="00EC3C58" w:rsidP="00EC3C58">
            <w:pPr>
              <w:pStyle w:val="ListParagraph"/>
              <w:numPr>
                <w:ilvl w:val="0"/>
                <w:numId w:val="10"/>
              </w:numPr>
              <w:ind w:left="342" w:hanging="342"/>
            </w:pPr>
            <w:r>
              <w:t>Management</w:t>
            </w:r>
          </w:p>
        </w:tc>
      </w:tr>
    </w:tbl>
    <w:p w14:paraId="475E35F7" w14:textId="77777777" w:rsidR="00EC3C58" w:rsidRPr="006B0B94" w:rsidRDefault="00EC3C58" w:rsidP="00EC3C58">
      <w:r>
        <w:t>Students will be expected to have mastered these concepts and be able to apply them in the course.</w:t>
      </w:r>
    </w:p>
    <w:p w14:paraId="04491429" w14:textId="77777777" w:rsidR="00C84CD2" w:rsidRDefault="00C84CD2" w:rsidP="00613EF9">
      <w:pPr>
        <w:spacing w:after="0"/>
        <w:rPr>
          <w:b/>
        </w:rPr>
      </w:pPr>
    </w:p>
    <w:p w14:paraId="02970AB1" w14:textId="77777777" w:rsidR="00613EF9" w:rsidRPr="006575ED" w:rsidRDefault="00613EF9" w:rsidP="00613EF9">
      <w:pPr>
        <w:spacing w:after="0"/>
        <w:rPr>
          <w:b/>
        </w:rPr>
      </w:pPr>
      <w:r w:rsidRPr="006575ED">
        <w:rPr>
          <w:b/>
        </w:rPr>
        <w:t>CLASSROOM NORMS AND EXPECTATIONS</w:t>
      </w:r>
    </w:p>
    <w:p w14:paraId="7781D8B4" w14:textId="77777777" w:rsidR="00613EF9" w:rsidRPr="006575ED" w:rsidRDefault="00613EF9" w:rsidP="00613EF9">
      <w:r w:rsidRPr="006575ED">
        <w:t>Students are expected to adhere to CBS</w:t>
      </w:r>
      <w:r w:rsidR="00DF7415">
        <w:t xml:space="preserve"> Core</w:t>
      </w:r>
      <w:r w:rsidRPr="006575ED">
        <w:t xml:space="preserve"> Culture in this class by being Present, Prepared, and Participating. </w:t>
      </w:r>
    </w:p>
    <w:p w14:paraId="4B635845" w14:textId="77777777" w:rsidR="00EC3C58" w:rsidRDefault="00EC3C58" w:rsidP="00EC3C58">
      <w:r w:rsidRPr="00F67125">
        <w:rPr>
          <w:b/>
          <w:i/>
        </w:rPr>
        <w:t>Class Participation:</w:t>
      </w:r>
      <w:r>
        <w:t xml:space="preserve"> </w:t>
      </w:r>
      <w:r>
        <w:br/>
        <w:t>Preparation, Discussion, Organization</w:t>
      </w:r>
    </w:p>
    <w:p w14:paraId="3D3E289B" w14:textId="77777777" w:rsidR="00EC3C58" w:rsidRPr="00F67125" w:rsidRDefault="00EC3C58" w:rsidP="00EC3C58">
      <w:r w:rsidRPr="00F67125">
        <w:rPr>
          <w:b/>
          <w:i/>
        </w:rPr>
        <w:t>Guest Speakers:</w:t>
      </w:r>
      <w:r>
        <w:t xml:space="preserve"> </w:t>
      </w:r>
      <w:r>
        <w:br/>
        <w:t>This course will involve several buy-side and Company Management guest lectures; class participation will be crucial to the success of the course.</w:t>
      </w:r>
    </w:p>
    <w:p w14:paraId="14A89E79" w14:textId="77777777" w:rsidR="009E1483" w:rsidRDefault="009E1483" w:rsidP="00E25CF4">
      <w:pPr>
        <w:rPr>
          <w:b/>
        </w:rPr>
      </w:pPr>
    </w:p>
    <w:p w14:paraId="23D44B78" w14:textId="77777777" w:rsidR="00DF6A6C" w:rsidRDefault="00DF6A6C" w:rsidP="00E25CF4">
      <w:pPr>
        <w:rPr>
          <w:b/>
        </w:rPr>
      </w:pPr>
    </w:p>
    <w:p w14:paraId="22600753" w14:textId="77777777" w:rsidR="00DF6A6C" w:rsidRDefault="00DF6A6C" w:rsidP="00E25CF4">
      <w:pPr>
        <w:rPr>
          <w:b/>
        </w:rPr>
      </w:pPr>
    </w:p>
    <w:p w14:paraId="5905AEA0" w14:textId="77777777" w:rsidR="00DF6A6C" w:rsidRDefault="00DF6A6C" w:rsidP="00E25CF4">
      <w:pPr>
        <w:rPr>
          <w:b/>
        </w:rPr>
      </w:pPr>
    </w:p>
    <w:p w14:paraId="4A092829" w14:textId="77777777" w:rsidR="00DF6A6C" w:rsidRDefault="00DF6A6C" w:rsidP="00E25CF4">
      <w:pPr>
        <w:rPr>
          <w:b/>
        </w:rPr>
      </w:pPr>
    </w:p>
    <w:p w14:paraId="5C568648" w14:textId="77777777" w:rsidR="00DF6A6C" w:rsidRDefault="00DF6A6C" w:rsidP="00E25CF4">
      <w:pPr>
        <w:rPr>
          <w:b/>
        </w:rPr>
      </w:pPr>
    </w:p>
    <w:p w14:paraId="7E6A6CBE" w14:textId="77777777" w:rsidR="00DF6A6C" w:rsidRDefault="00DF6A6C" w:rsidP="00E25CF4">
      <w:pPr>
        <w:rPr>
          <w:b/>
        </w:rPr>
      </w:pPr>
    </w:p>
    <w:p w14:paraId="53DAA723" w14:textId="77777777" w:rsidR="00DF6A6C" w:rsidRDefault="00DF6A6C" w:rsidP="00E25CF4">
      <w:pPr>
        <w:rPr>
          <w:b/>
        </w:rPr>
      </w:pPr>
    </w:p>
    <w:p w14:paraId="6E3ABFE1" w14:textId="77777777" w:rsidR="00613EF9" w:rsidRPr="002C0006" w:rsidRDefault="00613EF9" w:rsidP="00E25CF4">
      <w:pPr>
        <w:rPr>
          <w:rFonts w:cstheme="minorHAnsi"/>
          <w:b/>
        </w:rPr>
      </w:pPr>
    </w:p>
    <w:tbl>
      <w:tblPr>
        <w:tblStyle w:val="TableGrid"/>
        <w:tblpPr w:leftFromText="180" w:rightFromText="180" w:vertAnchor="page" w:horzAnchor="margin" w:tblpY="2041"/>
        <w:tblW w:w="0" w:type="auto"/>
        <w:tblLook w:val="04A0" w:firstRow="1" w:lastRow="0" w:firstColumn="1" w:lastColumn="0" w:noHBand="0" w:noVBand="1"/>
      </w:tblPr>
      <w:tblGrid>
        <w:gridCol w:w="1705"/>
        <w:gridCol w:w="6660"/>
      </w:tblGrid>
      <w:tr w:rsidR="00DF6A6C" w:rsidRPr="002C0006" w14:paraId="51BE46CF" w14:textId="77777777" w:rsidTr="00DF6A6C">
        <w:tc>
          <w:tcPr>
            <w:tcW w:w="1705" w:type="dxa"/>
          </w:tcPr>
          <w:p w14:paraId="5EE01432" w14:textId="77777777" w:rsidR="00DF6A6C" w:rsidRPr="002C0006" w:rsidRDefault="00DF6A6C" w:rsidP="00DF6A6C">
            <w:pPr>
              <w:rPr>
                <w:rFonts w:cstheme="minorHAnsi"/>
                <w:b/>
              </w:rPr>
            </w:pPr>
            <w:r w:rsidRPr="002C0006">
              <w:rPr>
                <w:rFonts w:cstheme="minorHAnsi"/>
                <w:b/>
              </w:rPr>
              <w:lastRenderedPageBreak/>
              <w:t>Seminar</w:t>
            </w:r>
          </w:p>
        </w:tc>
        <w:tc>
          <w:tcPr>
            <w:tcW w:w="6660" w:type="dxa"/>
          </w:tcPr>
          <w:p w14:paraId="5573ACF0" w14:textId="77777777" w:rsidR="00DF6A6C" w:rsidRPr="002C0006" w:rsidRDefault="00DF6A6C" w:rsidP="008E7B79">
            <w:pPr>
              <w:rPr>
                <w:rFonts w:cstheme="minorHAnsi"/>
                <w:b/>
              </w:rPr>
            </w:pPr>
            <w:r w:rsidRPr="002C0006">
              <w:rPr>
                <w:rFonts w:cstheme="minorHAnsi"/>
                <w:b/>
              </w:rPr>
              <w:t>Discussion Topic</w:t>
            </w:r>
          </w:p>
        </w:tc>
      </w:tr>
      <w:tr w:rsidR="00676C72" w:rsidRPr="002C0006" w14:paraId="28A07E4D" w14:textId="77777777" w:rsidTr="00DF6A6C">
        <w:tc>
          <w:tcPr>
            <w:tcW w:w="1705" w:type="dxa"/>
          </w:tcPr>
          <w:p w14:paraId="7742B8C5" w14:textId="55B74B09" w:rsidR="00873DF7" w:rsidRPr="00873DF7" w:rsidRDefault="00873DF7" w:rsidP="00DF6A6C">
            <w:pPr>
              <w:rPr>
                <w:rFonts w:cstheme="minorHAnsi"/>
                <w:b/>
                <w:i/>
              </w:rPr>
            </w:pPr>
            <w:r w:rsidRPr="00873DF7">
              <w:rPr>
                <w:rFonts w:cstheme="minorHAnsi"/>
                <w:b/>
                <w:i/>
              </w:rPr>
              <w:t>Session One</w:t>
            </w:r>
          </w:p>
          <w:p w14:paraId="5F6701D2" w14:textId="54F25A37" w:rsidR="00676C72" w:rsidRPr="00873DF7" w:rsidRDefault="00873DF7" w:rsidP="00DF6A6C">
            <w:pPr>
              <w:rPr>
                <w:rFonts w:cstheme="minorHAnsi"/>
                <w:b/>
                <w:i/>
              </w:rPr>
            </w:pPr>
            <w:r w:rsidRPr="00873DF7">
              <w:rPr>
                <w:rFonts w:cstheme="minorHAnsi"/>
                <w:b/>
                <w:i/>
              </w:rPr>
              <w:t xml:space="preserve">January </w:t>
            </w:r>
            <w:r w:rsidR="002B55F3">
              <w:rPr>
                <w:rFonts w:cstheme="minorHAnsi"/>
                <w:b/>
                <w:i/>
              </w:rPr>
              <w:t>2</w:t>
            </w:r>
            <w:r w:rsidR="00F85D89">
              <w:rPr>
                <w:rFonts w:cstheme="minorHAnsi"/>
                <w:b/>
                <w:i/>
              </w:rPr>
              <w:t>5</w:t>
            </w:r>
          </w:p>
          <w:p w14:paraId="6332F2D4" w14:textId="0A7AA422" w:rsidR="001A051D" w:rsidRPr="0089754B" w:rsidRDefault="001A051D" w:rsidP="00DF6A6C">
            <w:pPr>
              <w:rPr>
                <w:rFonts w:cstheme="minorHAnsi"/>
                <w:b/>
              </w:rPr>
            </w:pPr>
          </w:p>
        </w:tc>
        <w:tc>
          <w:tcPr>
            <w:tcW w:w="6660" w:type="dxa"/>
          </w:tcPr>
          <w:p w14:paraId="67424763" w14:textId="5AAA111D" w:rsidR="00676C72" w:rsidRPr="00F81E0F" w:rsidRDefault="00194FB4" w:rsidP="002C1C2C">
            <w:pPr>
              <w:rPr>
                <w:rFonts w:cstheme="minorHAnsi"/>
                <w:b/>
                <w:i/>
              </w:rPr>
            </w:pPr>
            <w:r w:rsidRPr="00F81E0F">
              <w:rPr>
                <w:rFonts w:cstheme="minorHAnsi"/>
                <w:b/>
                <w:i/>
              </w:rPr>
              <w:t>Profession of Wealth Management</w:t>
            </w:r>
            <w:r w:rsidR="008E16C4" w:rsidRPr="00F81E0F">
              <w:rPr>
                <w:rFonts w:cstheme="minorHAnsi"/>
                <w:b/>
                <w:i/>
              </w:rPr>
              <w:t xml:space="preserve"> </w:t>
            </w:r>
          </w:p>
          <w:p w14:paraId="0173E4DB" w14:textId="77777777" w:rsidR="00676C72" w:rsidRPr="00F81E0F" w:rsidRDefault="00ED771B" w:rsidP="00533454">
            <w:pPr>
              <w:rPr>
                <w:rFonts w:cstheme="minorHAnsi"/>
              </w:rPr>
            </w:pPr>
            <w:r w:rsidRPr="00F81E0F">
              <w:rPr>
                <w:rFonts w:cstheme="minorHAnsi"/>
              </w:rPr>
              <w:t>Recent</w:t>
            </w:r>
            <w:r w:rsidR="00676C72" w:rsidRPr="00F81E0F">
              <w:rPr>
                <w:rFonts w:cstheme="minorHAnsi"/>
              </w:rPr>
              <w:t xml:space="preserve"> history of the </w:t>
            </w:r>
            <w:r w:rsidR="00194FB4" w:rsidRPr="00F81E0F">
              <w:rPr>
                <w:rFonts w:cstheme="minorHAnsi"/>
              </w:rPr>
              <w:t>industry</w:t>
            </w:r>
            <w:r w:rsidR="00676C72" w:rsidRPr="00F81E0F">
              <w:rPr>
                <w:rFonts w:cstheme="minorHAnsi"/>
              </w:rPr>
              <w:t xml:space="preserve"> </w:t>
            </w:r>
            <w:r w:rsidRPr="00F81E0F">
              <w:rPr>
                <w:rFonts w:cstheme="minorHAnsi"/>
              </w:rPr>
              <w:t xml:space="preserve">– </w:t>
            </w:r>
            <w:r w:rsidR="00194FB4" w:rsidRPr="00F81E0F">
              <w:rPr>
                <w:rFonts w:cstheme="minorHAnsi"/>
              </w:rPr>
              <w:t>overview of major firms</w:t>
            </w:r>
            <w:r w:rsidRPr="00F81E0F">
              <w:rPr>
                <w:rFonts w:cstheme="minorHAnsi"/>
              </w:rPr>
              <w:t xml:space="preserve"> – </w:t>
            </w:r>
            <w:r w:rsidR="00B92745" w:rsidRPr="00F81E0F">
              <w:rPr>
                <w:rFonts w:cstheme="minorHAnsi"/>
              </w:rPr>
              <w:t xml:space="preserve">“business” </w:t>
            </w:r>
            <w:r w:rsidRPr="00F81E0F">
              <w:rPr>
                <w:rFonts w:cstheme="minorHAnsi"/>
              </w:rPr>
              <w:t xml:space="preserve">versus </w:t>
            </w:r>
            <w:r w:rsidR="00B92745" w:rsidRPr="00F81E0F">
              <w:rPr>
                <w:rFonts w:cstheme="minorHAnsi"/>
              </w:rPr>
              <w:t>“p</w:t>
            </w:r>
            <w:r w:rsidRPr="00F81E0F">
              <w:rPr>
                <w:rFonts w:cstheme="minorHAnsi"/>
              </w:rPr>
              <w:t xml:space="preserve">rofession” of wealth management – </w:t>
            </w:r>
            <w:r w:rsidR="00B92745" w:rsidRPr="00F81E0F">
              <w:rPr>
                <w:rFonts w:cstheme="minorHAnsi"/>
              </w:rPr>
              <w:t xml:space="preserve">individual </w:t>
            </w:r>
            <w:r w:rsidRPr="00F81E0F">
              <w:rPr>
                <w:rFonts w:cstheme="minorHAnsi"/>
              </w:rPr>
              <w:t>versus</w:t>
            </w:r>
            <w:r w:rsidR="00B92745" w:rsidRPr="00F81E0F">
              <w:rPr>
                <w:rFonts w:cstheme="minorHAnsi"/>
              </w:rPr>
              <w:t xml:space="preserve"> institutional investors</w:t>
            </w:r>
            <w:r w:rsidRPr="00F81E0F">
              <w:rPr>
                <w:rFonts w:cstheme="minorHAnsi"/>
              </w:rPr>
              <w:t xml:space="preserve"> – </w:t>
            </w:r>
            <w:r w:rsidR="00533454" w:rsidRPr="00F81E0F">
              <w:rPr>
                <w:rFonts w:cstheme="minorHAnsi"/>
              </w:rPr>
              <w:t>purpose</w:t>
            </w:r>
            <w:r w:rsidR="00707FC4" w:rsidRPr="00F81E0F">
              <w:rPr>
                <w:rFonts w:cstheme="minorHAnsi"/>
              </w:rPr>
              <w:t xml:space="preserve"> of professional investment management</w:t>
            </w:r>
            <w:r w:rsidR="00533454" w:rsidRPr="00F81E0F">
              <w:rPr>
                <w:rFonts w:cstheme="minorHAnsi"/>
              </w:rPr>
              <w:t xml:space="preserve"> </w:t>
            </w:r>
            <w:r w:rsidR="00707FC4" w:rsidRPr="00F81E0F">
              <w:rPr>
                <w:rFonts w:cstheme="minorHAnsi"/>
              </w:rPr>
              <w:t xml:space="preserve">– </w:t>
            </w:r>
            <w:r w:rsidR="008E7B79" w:rsidRPr="00F81E0F">
              <w:rPr>
                <w:rFonts w:cstheme="minorHAnsi"/>
              </w:rPr>
              <w:t>how wealth managers are paid</w:t>
            </w:r>
            <w:r w:rsidRPr="00F81E0F">
              <w:rPr>
                <w:rFonts w:cstheme="minorHAnsi"/>
              </w:rPr>
              <w:t xml:space="preserve"> –</w:t>
            </w:r>
            <w:r w:rsidR="00707FC4" w:rsidRPr="00F81E0F">
              <w:rPr>
                <w:rFonts w:cstheme="minorHAnsi"/>
              </w:rPr>
              <w:t xml:space="preserve"> </w:t>
            </w:r>
            <w:r w:rsidR="00A504B1" w:rsidRPr="00F81E0F">
              <w:rPr>
                <w:rFonts w:cstheme="minorHAnsi"/>
              </w:rPr>
              <w:t xml:space="preserve">course </w:t>
            </w:r>
            <w:r w:rsidRPr="00F81E0F">
              <w:rPr>
                <w:rFonts w:cstheme="minorHAnsi"/>
              </w:rPr>
              <w:t>themes</w:t>
            </w:r>
            <w:r w:rsidR="00707FC4" w:rsidRPr="00F81E0F">
              <w:rPr>
                <w:rFonts w:cstheme="minorHAnsi"/>
              </w:rPr>
              <w:t>: trust, risk, client emotion, human capital</w:t>
            </w:r>
          </w:p>
          <w:p w14:paraId="349A9059" w14:textId="1EB8773B" w:rsidR="00F81E0F" w:rsidRPr="00F81E0F" w:rsidRDefault="00F81E0F" w:rsidP="00F81E0F">
            <w:pPr>
              <w:rPr>
                <w:rFonts w:cstheme="minorHAnsi"/>
                <w:b/>
              </w:rPr>
            </w:pPr>
          </w:p>
        </w:tc>
      </w:tr>
      <w:tr w:rsidR="00DF6A6C" w:rsidRPr="002C0006" w14:paraId="73B4B73F" w14:textId="77777777" w:rsidTr="00DF6A6C">
        <w:tc>
          <w:tcPr>
            <w:tcW w:w="1705" w:type="dxa"/>
          </w:tcPr>
          <w:p w14:paraId="506C9C97" w14:textId="71C03EAB" w:rsidR="00DF6A6C" w:rsidRDefault="00873DF7" w:rsidP="00DF6A6C">
            <w:pPr>
              <w:rPr>
                <w:rFonts w:cstheme="minorHAnsi"/>
                <w:b/>
              </w:rPr>
            </w:pPr>
            <w:r>
              <w:rPr>
                <w:rFonts w:cstheme="minorHAnsi"/>
                <w:b/>
              </w:rPr>
              <w:t>Session Two</w:t>
            </w:r>
          </w:p>
          <w:p w14:paraId="0BAF41F4" w14:textId="5919C207" w:rsidR="00873DF7" w:rsidRPr="0089754B" w:rsidRDefault="00873DF7" w:rsidP="00DF6A6C">
            <w:pPr>
              <w:rPr>
                <w:rFonts w:cstheme="minorHAnsi"/>
                <w:b/>
                <w:highlight w:val="yellow"/>
              </w:rPr>
            </w:pPr>
            <w:r w:rsidRPr="0067146A">
              <w:rPr>
                <w:rFonts w:cstheme="minorHAnsi"/>
                <w:b/>
                <w:i/>
              </w:rPr>
              <w:t xml:space="preserve">February </w:t>
            </w:r>
            <w:r w:rsidR="00F85D89">
              <w:rPr>
                <w:rFonts w:cstheme="minorHAnsi"/>
                <w:b/>
                <w:i/>
              </w:rPr>
              <w:t>1</w:t>
            </w:r>
          </w:p>
        </w:tc>
        <w:tc>
          <w:tcPr>
            <w:tcW w:w="6660" w:type="dxa"/>
          </w:tcPr>
          <w:p w14:paraId="5D81DD72" w14:textId="7F1C1D7B" w:rsidR="002C1C2C" w:rsidRPr="00F81E0F" w:rsidRDefault="00B92745" w:rsidP="002C1C2C">
            <w:pPr>
              <w:rPr>
                <w:rFonts w:cstheme="minorHAnsi"/>
                <w:b/>
              </w:rPr>
            </w:pPr>
            <w:r w:rsidRPr="00F81E0F">
              <w:rPr>
                <w:rFonts w:cstheme="minorHAnsi"/>
                <w:b/>
                <w:i/>
              </w:rPr>
              <w:t xml:space="preserve">Asset Classes 1  </w:t>
            </w:r>
          </w:p>
          <w:p w14:paraId="527D7F03" w14:textId="77777777" w:rsidR="00356329" w:rsidRPr="00F81E0F" w:rsidRDefault="00ED771B" w:rsidP="00094D70">
            <w:pPr>
              <w:rPr>
                <w:rFonts w:cstheme="minorHAnsi"/>
              </w:rPr>
            </w:pPr>
            <w:r w:rsidRPr="00F81E0F">
              <w:rPr>
                <w:rFonts w:cstheme="minorHAnsi"/>
              </w:rPr>
              <w:t xml:space="preserve">Asset allocation overview – </w:t>
            </w:r>
            <w:r w:rsidR="00533454" w:rsidRPr="00F81E0F">
              <w:rPr>
                <w:rFonts w:cstheme="minorHAnsi"/>
              </w:rPr>
              <w:t>evolution from 60/40 split to dynamic asset allocation</w:t>
            </w:r>
            <w:r w:rsidR="00785098" w:rsidRPr="00F81E0F">
              <w:rPr>
                <w:rFonts w:cstheme="minorHAnsi"/>
              </w:rPr>
              <w:t xml:space="preserve"> </w:t>
            </w:r>
            <w:r w:rsidRPr="00F81E0F">
              <w:rPr>
                <w:rFonts w:cstheme="minorHAnsi"/>
              </w:rPr>
              <w:t xml:space="preserve">– </w:t>
            </w:r>
            <w:r w:rsidR="00094D70" w:rsidRPr="00F81E0F">
              <w:rPr>
                <w:rFonts w:cstheme="minorHAnsi"/>
              </w:rPr>
              <w:t xml:space="preserve"> equities – sector, style, size, quality, earnings, cash flows, balance sheet, debt, dividends, valuation, multiples  – large/mid/small-cap – growth/value – defensive/cyclical – geography – corporate governance – active versus passive management – individual securities versus pooled investments – mutual funds – ETFs – SMAs – model portfolios</w:t>
            </w:r>
          </w:p>
          <w:p w14:paraId="13E92ECA" w14:textId="25C2E17C" w:rsidR="00F81E0F" w:rsidRPr="00F81E0F" w:rsidRDefault="00F81E0F" w:rsidP="00F81E0F">
            <w:pPr>
              <w:rPr>
                <w:rFonts w:cstheme="minorHAnsi"/>
                <w:b/>
              </w:rPr>
            </w:pPr>
          </w:p>
        </w:tc>
      </w:tr>
      <w:tr w:rsidR="00DF6A6C" w:rsidRPr="002C0006" w14:paraId="032FB680" w14:textId="77777777" w:rsidTr="00DF6A6C">
        <w:tc>
          <w:tcPr>
            <w:tcW w:w="1705" w:type="dxa"/>
          </w:tcPr>
          <w:p w14:paraId="442A71AC" w14:textId="19FB68FF" w:rsidR="00DF6A6C" w:rsidRDefault="00ED771B" w:rsidP="00DF6A6C">
            <w:pPr>
              <w:rPr>
                <w:rFonts w:cstheme="minorHAnsi"/>
                <w:b/>
                <w:i/>
              </w:rPr>
            </w:pPr>
            <w:r>
              <w:rPr>
                <w:rFonts w:cstheme="minorHAnsi"/>
                <w:b/>
                <w:i/>
              </w:rPr>
              <w:t>Session Three</w:t>
            </w:r>
          </w:p>
          <w:p w14:paraId="5CF7D0E8" w14:textId="382F50B8" w:rsidR="00ED771B" w:rsidRPr="00ED771B" w:rsidRDefault="00ED771B" w:rsidP="00DF6A6C">
            <w:pPr>
              <w:rPr>
                <w:rFonts w:cstheme="minorHAnsi"/>
                <w:b/>
                <w:i/>
              </w:rPr>
            </w:pPr>
            <w:r w:rsidRPr="0067146A">
              <w:rPr>
                <w:rFonts w:cstheme="minorHAnsi"/>
                <w:b/>
                <w:i/>
              </w:rPr>
              <w:t xml:space="preserve">February </w:t>
            </w:r>
            <w:r w:rsidR="00F85D89">
              <w:rPr>
                <w:rFonts w:cstheme="minorHAnsi"/>
                <w:b/>
                <w:i/>
              </w:rPr>
              <w:t>8</w:t>
            </w:r>
          </w:p>
          <w:p w14:paraId="76E6F11B" w14:textId="1FDE1EF4" w:rsidR="001A051D" w:rsidRPr="0089754B" w:rsidRDefault="001A051D" w:rsidP="00DF6A6C">
            <w:pPr>
              <w:rPr>
                <w:rFonts w:cstheme="minorHAnsi"/>
                <w:b/>
                <w:highlight w:val="yellow"/>
              </w:rPr>
            </w:pPr>
          </w:p>
        </w:tc>
        <w:tc>
          <w:tcPr>
            <w:tcW w:w="6660" w:type="dxa"/>
          </w:tcPr>
          <w:p w14:paraId="14BC9784" w14:textId="4F5C10C0" w:rsidR="002C1C2C" w:rsidRPr="00F81E0F" w:rsidRDefault="00C841B1" w:rsidP="002C1C2C">
            <w:pPr>
              <w:rPr>
                <w:rFonts w:cstheme="minorHAnsi"/>
                <w:b/>
                <w:i/>
              </w:rPr>
            </w:pPr>
            <w:r w:rsidRPr="00F81E0F">
              <w:rPr>
                <w:rFonts w:cstheme="minorHAnsi"/>
                <w:b/>
                <w:i/>
              </w:rPr>
              <w:t>Asset Classes 2</w:t>
            </w:r>
            <w:r w:rsidR="00ED771B" w:rsidRPr="00F81E0F">
              <w:rPr>
                <w:rFonts w:cstheme="minorHAnsi"/>
                <w:b/>
                <w:i/>
              </w:rPr>
              <w:t xml:space="preserve"> </w:t>
            </w:r>
          </w:p>
          <w:p w14:paraId="58F9CB76" w14:textId="77777777" w:rsidR="00DF6A6C" w:rsidRPr="00F81E0F" w:rsidRDefault="00094D70" w:rsidP="00094D70">
            <w:pPr>
              <w:rPr>
                <w:rFonts w:cstheme="minorHAnsi"/>
              </w:rPr>
            </w:pPr>
            <w:r w:rsidRPr="00F81E0F">
              <w:rPr>
                <w:rFonts w:cstheme="minorHAnsi"/>
              </w:rPr>
              <w:t xml:space="preserve">Fixed income: treasuries, </w:t>
            </w:r>
            <w:proofErr w:type="spellStart"/>
            <w:r w:rsidRPr="00F81E0F">
              <w:rPr>
                <w:rFonts w:cstheme="minorHAnsi"/>
              </w:rPr>
              <w:t>munis</w:t>
            </w:r>
            <w:proofErr w:type="spellEnd"/>
            <w:r w:rsidRPr="00F81E0F">
              <w:rPr>
                <w:rFonts w:cstheme="minorHAnsi"/>
              </w:rPr>
              <w:t xml:space="preserve">, corporates, yields, durations – real assets: natural resources, real estate, commodities, currencies – cash: dry powder, hedge, volatility dampener – correlations and return expectations </w:t>
            </w:r>
          </w:p>
          <w:p w14:paraId="759F8149" w14:textId="4145CBAE" w:rsidR="00F81E0F" w:rsidRPr="00F81E0F" w:rsidRDefault="00F81E0F" w:rsidP="00F81E0F">
            <w:pPr>
              <w:rPr>
                <w:rFonts w:cstheme="minorHAnsi"/>
                <w:b/>
              </w:rPr>
            </w:pPr>
          </w:p>
        </w:tc>
      </w:tr>
      <w:tr w:rsidR="00DF6A6C" w:rsidRPr="002C0006" w14:paraId="51AC1414" w14:textId="77777777" w:rsidTr="00DF6A6C">
        <w:tc>
          <w:tcPr>
            <w:tcW w:w="1705" w:type="dxa"/>
          </w:tcPr>
          <w:p w14:paraId="47FC9FBF" w14:textId="41893688" w:rsidR="00DF6A6C" w:rsidRDefault="00987736" w:rsidP="00DF6A6C">
            <w:pPr>
              <w:rPr>
                <w:rFonts w:cstheme="minorHAnsi"/>
                <w:b/>
                <w:i/>
              </w:rPr>
            </w:pPr>
            <w:r>
              <w:rPr>
                <w:rFonts w:cstheme="minorHAnsi"/>
                <w:b/>
                <w:i/>
              </w:rPr>
              <w:t>Session Four</w:t>
            </w:r>
          </w:p>
          <w:p w14:paraId="5878EC0B" w14:textId="3572C778" w:rsidR="00987736" w:rsidRPr="00987736" w:rsidRDefault="00987736" w:rsidP="00DF6A6C">
            <w:pPr>
              <w:rPr>
                <w:rFonts w:cstheme="minorHAnsi"/>
                <w:b/>
                <w:i/>
                <w:highlight w:val="yellow"/>
              </w:rPr>
            </w:pPr>
            <w:r>
              <w:rPr>
                <w:rFonts w:cstheme="minorHAnsi"/>
                <w:b/>
                <w:i/>
              </w:rPr>
              <w:t xml:space="preserve">February </w:t>
            </w:r>
            <w:r w:rsidR="002B55F3">
              <w:rPr>
                <w:rFonts w:cstheme="minorHAnsi"/>
                <w:b/>
                <w:i/>
              </w:rPr>
              <w:t>1</w:t>
            </w:r>
            <w:r w:rsidR="00F85D89">
              <w:rPr>
                <w:rFonts w:cstheme="minorHAnsi"/>
                <w:b/>
                <w:i/>
              </w:rPr>
              <w:t>5</w:t>
            </w:r>
          </w:p>
        </w:tc>
        <w:tc>
          <w:tcPr>
            <w:tcW w:w="6660" w:type="dxa"/>
          </w:tcPr>
          <w:p w14:paraId="7519E001" w14:textId="77777777" w:rsidR="00987736" w:rsidRPr="00F81E0F" w:rsidRDefault="00987736" w:rsidP="00987736">
            <w:pPr>
              <w:rPr>
                <w:rFonts w:cstheme="minorHAnsi"/>
                <w:b/>
                <w:i/>
              </w:rPr>
            </w:pPr>
            <w:r w:rsidRPr="00F81E0F">
              <w:rPr>
                <w:rFonts w:cstheme="minorHAnsi"/>
                <w:b/>
                <w:i/>
              </w:rPr>
              <w:t xml:space="preserve">Clients </w:t>
            </w:r>
          </w:p>
          <w:p w14:paraId="647DFC4C" w14:textId="77777777" w:rsidR="009E733F" w:rsidRPr="00F81E0F" w:rsidRDefault="00987736" w:rsidP="002F1AC2">
            <w:pPr>
              <w:rPr>
                <w:rFonts w:cstheme="minorHAnsi"/>
              </w:rPr>
            </w:pPr>
            <w:r w:rsidRPr="00F81E0F">
              <w:rPr>
                <w:rFonts w:cstheme="minorHAnsi"/>
              </w:rPr>
              <w:t>Defining</w:t>
            </w:r>
            <w:r w:rsidR="008C2070" w:rsidRPr="00F81E0F">
              <w:rPr>
                <w:rFonts w:cstheme="minorHAnsi"/>
              </w:rPr>
              <w:t xml:space="preserve"> “high-</w:t>
            </w:r>
            <w:r w:rsidR="009E733F" w:rsidRPr="00F81E0F">
              <w:rPr>
                <w:rFonts w:cstheme="minorHAnsi"/>
              </w:rPr>
              <w:t xml:space="preserve">net-worth” </w:t>
            </w:r>
            <w:r w:rsidR="00533454" w:rsidRPr="00F81E0F">
              <w:rPr>
                <w:rFonts w:cstheme="minorHAnsi"/>
              </w:rPr>
              <w:t>–</w:t>
            </w:r>
            <w:r w:rsidR="00132ADF" w:rsidRPr="00F81E0F">
              <w:rPr>
                <w:rFonts w:cstheme="minorHAnsi"/>
              </w:rPr>
              <w:t xml:space="preserve"> </w:t>
            </w:r>
            <w:r w:rsidR="00533454" w:rsidRPr="00F81E0F">
              <w:rPr>
                <w:rFonts w:cstheme="minorHAnsi"/>
              </w:rPr>
              <w:t xml:space="preserve">sources of wealth and types of income – </w:t>
            </w:r>
            <w:r w:rsidRPr="00F81E0F">
              <w:rPr>
                <w:rFonts w:cstheme="minorHAnsi"/>
              </w:rPr>
              <w:t xml:space="preserve">characteristics of “high net worth” investors – </w:t>
            </w:r>
            <w:r w:rsidR="00707FC4" w:rsidRPr="00F81E0F">
              <w:rPr>
                <w:rFonts w:cstheme="minorHAnsi"/>
              </w:rPr>
              <w:t xml:space="preserve">five primary determinants: </w:t>
            </w:r>
            <w:r w:rsidRPr="00F81E0F">
              <w:rPr>
                <w:rFonts w:cstheme="minorHAnsi"/>
              </w:rPr>
              <w:t>time horizon</w:t>
            </w:r>
            <w:r w:rsidR="00707FC4" w:rsidRPr="00F81E0F">
              <w:rPr>
                <w:rFonts w:cstheme="minorHAnsi"/>
              </w:rPr>
              <w:t>,</w:t>
            </w:r>
            <w:r w:rsidRPr="00F81E0F">
              <w:rPr>
                <w:rFonts w:cstheme="minorHAnsi"/>
              </w:rPr>
              <w:t xml:space="preserve"> income/liquidity needs</w:t>
            </w:r>
            <w:r w:rsidR="00707FC4" w:rsidRPr="00F81E0F">
              <w:rPr>
                <w:rFonts w:cstheme="minorHAnsi"/>
              </w:rPr>
              <w:t>,</w:t>
            </w:r>
            <w:r w:rsidRPr="00F81E0F">
              <w:rPr>
                <w:rFonts w:cstheme="minorHAnsi"/>
              </w:rPr>
              <w:t xml:space="preserve"> risk tolerance</w:t>
            </w:r>
            <w:r w:rsidR="00707FC4" w:rsidRPr="00F81E0F">
              <w:rPr>
                <w:rFonts w:cstheme="minorHAnsi"/>
              </w:rPr>
              <w:t>,</w:t>
            </w:r>
            <w:r w:rsidRPr="00F81E0F">
              <w:rPr>
                <w:rFonts w:cstheme="minorHAnsi"/>
              </w:rPr>
              <w:t xml:space="preserve"> </w:t>
            </w:r>
            <w:r w:rsidR="008C2070" w:rsidRPr="00F81E0F">
              <w:rPr>
                <w:rFonts w:cstheme="minorHAnsi"/>
              </w:rPr>
              <w:t>return expectations</w:t>
            </w:r>
            <w:r w:rsidR="00707FC4" w:rsidRPr="00F81E0F">
              <w:rPr>
                <w:rFonts w:cstheme="minorHAnsi"/>
              </w:rPr>
              <w:t>,</w:t>
            </w:r>
            <w:r w:rsidRPr="00F81E0F">
              <w:rPr>
                <w:rFonts w:cstheme="minorHAnsi"/>
              </w:rPr>
              <w:t xml:space="preserve"> </w:t>
            </w:r>
            <w:r w:rsidR="008C2070" w:rsidRPr="00F81E0F">
              <w:rPr>
                <w:rFonts w:cstheme="minorHAnsi"/>
              </w:rPr>
              <w:t>unique circu</w:t>
            </w:r>
            <w:r w:rsidR="00707FC4" w:rsidRPr="00F81E0F">
              <w:rPr>
                <w:rFonts w:cstheme="minorHAnsi"/>
              </w:rPr>
              <w:t>mstances/tax considerations ––</w:t>
            </w:r>
            <w:r w:rsidR="00533454" w:rsidRPr="00F81E0F">
              <w:rPr>
                <w:rFonts w:cstheme="minorHAnsi"/>
              </w:rPr>
              <w:t xml:space="preserve"> </w:t>
            </w:r>
            <w:r w:rsidR="00707FC4" w:rsidRPr="00F81E0F">
              <w:rPr>
                <w:rFonts w:cstheme="minorHAnsi"/>
              </w:rPr>
              <w:t xml:space="preserve">client education – </w:t>
            </w:r>
            <w:r w:rsidR="00E60CA6" w:rsidRPr="00F81E0F">
              <w:rPr>
                <w:rFonts w:cstheme="minorHAnsi"/>
              </w:rPr>
              <w:t>behavioral biases</w:t>
            </w:r>
            <w:r w:rsidR="007E011A" w:rsidRPr="00F81E0F">
              <w:rPr>
                <w:rFonts w:cstheme="minorHAnsi"/>
              </w:rPr>
              <w:t xml:space="preserve"> and client emotion</w:t>
            </w:r>
            <w:r w:rsidR="00E60CA6" w:rsidRPr="00F81E0F">
              <w:rPr>
                <w:rFonts w:cstheme="minorHAnsi"/>
              </w:rPr>
              <w:t xml:space="preserve"> – </w:t>
            </w:r>
            <w:r w:rsidR="00707FC4" w:rsidRPr="00F81E0F">
              <w:rPr>
                <w:rFonts w:cstheme="minorHAnsi"/>
              </w:rPr>
              <w:t>fiduciary responsibility</w:t>
            </w:r>
          </w:p>
          <w:p w14:paraId="61BAADD8" w14:textId="2DA3B7D1" w:rsidR="00F81E0F" w:rsidRPr="00F81E0F" w:rsidRDefault="00F81E0F" w:rsidP="00F81E0F">
            <w:pPr>
              <w:rPr>
                <w:rFonts w:cstheme="minorHAnsi"/>
                <w:b/>
              </w:rPr>
            </w:pPr>
          </w:p>
        </w:tc>
      </w:tr>
      <w:tr w:rsidR="00DF6A6C" w:rsidRPr="002C0006" w14:paraId="2FBBAEAD" w14:textId="77777777" w:rsidTr="00DF6A6C">
        <w:tc>
          <w:tcPr>
            <w:tcW w:w="1705" w:type="dxa"/>
          </w:tcPr>
          <w:p w14:paraId="43094A99" w14:textId="5BFA8870" w:rsidR="00DF6A6C" w:rsidRPr="0089754B" w:rsidRDefault="00987736" w:rsidP="00DF6A6C">
            <w:pPr>
              <w:rPr>
                <w:rFonts w:cstheme="minorHAnsi"/>
                <w:b/>
              </w:rPr>
            </w:pPr>
            <w:r>
              <w:rPr>
                <w:rFonts w:cstheme="minorHAnsi"/>
                <w:b/>
                <w:i/>
              </w:rPr>
              <w:t>Session Five</w:t>
            </w:r>
            <w:r w:rsidR="00FD02F9" w:rsidRPr="0089754B">
              <w:rPr>
                <w:rFonts w:cstheme="minorHAnsi"/>
                <w:b/>
              </w:rPr>
              <w:t xml:space="preserve">  </w:t>
            </w:r>
          </w:p>
          <w:p w14:paraId="518B3096" w14:textId="354B9BC2" w:rsidR="00FD02F9" w:rsidRPr="0089754B" w:rsidRDefault="00987736" w:rsidP="00DF6A6C">
            <w:pPr>
              <w:rPr>
                <w:rFonts w:cstheme="minorHAnsi"/>
                <w:b/>
                <w:highlight w:val="yellow"/>
              </w:rPr>
            </w:pPr>
            <w:r w:rsidRPr="0067146A">
              <w:rPr>
                <w:rFonts w:cstheme="minorHAnsi"/>
                <w:b/>
                <w:i/>
              </w:rPr>
              <w:t xml:space="preserve">February </w:t>
            </w:r>
            <w:r w:rsidR="002B55F3">
              <w:rPr>
                <w:rFonts w:cstheme="minorHAnsi"/>
                <w:b/>
                <w:i/>
              </w:rPr>
              <w:t>2</w:t>
            </w:r>
            <w:r w:rsidR="00F85D89">
              <w:rPr>
                <w:rFonts w:cstheme="minorHAnsi"/>
                <w:b/>
                <w:i/>
              </w:rPr>
              <w:t>2</w:t>
            </w:r>
          </w:p>
        </w:tc>
        <w:tc>
          <w:tcPr>
            <w:tcW w:w="6660" w:type="dxa"/>
          </w:tcPr>
          <w:p w14:paraId="63D3C4DB" w14:textId="1C1E7049" w:rsidR="00356329" w:rsidRPr="00F81E0F" w:rsidRDefault="008C2070" w:rsidP="00356329">
            <w:pPr>
              <w:rPr>
                <w:rFonts w:cstheme="minorHAnsi"/>
                <w:b/>
                <w:i/>
              </w:rPr>
            </w:pPr>
            <w:r w:rsidRPr="00F81E0F">
              <w:rPr>
                <w:rFonts w:cstheme="minorHAnsi"/>
                <w:b/>
                <w:i/>
              </w:rPr>
              <w:t>Portfolio Construction 1</w:t>
            </w:r>
            <w:r w:rsidR="00356329" w:rsidRPr="00F81E0F">
              <w:rPr>
                <w:rFonts w:cstheme="minorHAnsi"/>
                <w:b/>
                <w:i/>
              </w:rPr>
              <w:t xml:space="preserve"> </w:t>
            </w:r>
          </w:p>
          <w:p w14:paraId="280DE583" w14:textId="77777777" w:rsidR="00F81E0F" w:rsidRPr="00F81E0F" w:rsidRDefault="00707FC4" w:rsidP="00617F00">
            <w:pPr>
              <w:rPr>
                <w:rFonts w:cstheme="minorHAnsi"/>
              </w:rPr>
            </w:pPr>
            <w:r w:rsidRPr="00F81E0F">
              <w:rPr>
                <w:rFonts w:cstheme="minorHAnsi"/>
              </w:rPr>
              <w:t xml:space="preserve">Constructing a portfolio based on client inputs – sectors, industries – </w:t>
            </w:r>
            <w:proofErr w:type="spellStart"/>
            <w:r w:rsidRPr="00F81E0F">
              <w:rPr>
                <w:rFonts w:cstheme="minorHAnsi"/>
              </w:rPr>
              <w:t>overweights</w:t>
            </w:r>
            <w:proofErr w:type="spellEnd"/>
            <w:r w:rsidRPr="00F81E0F">
              <w:rPr>
                <w:rFonts w:cstheme="minorHAnsi"/>
              </w:rPr>
              <w:t>/underweights – stock selection – position size – number of sto</w:t>
            </w:r>
            <w:r w:rsidR="002F1AC2" w:rsidRPr="00F81E0F">
              <w:rPr>
                <w:rFonts w:cstheme="minorHAnsi"/>
              </w:rPr>
              <w:t xml:space="preserve">cks and </w:t>
            </w:r>
            <w:r w:rsidRPr="00F81E0F">
              <w:rPr>
                <w:rFonts w:cstheme="minorHAnsi"/>
              </w:rPr>
              <w:t xml:space="preserve">diversification </w:t>
            </w:r>
            <w:r w:rsidR="00617F00" w:rsidRPr="00F81E0F">
              <w:rPr>
                <w:rFonts w:cstheme="minorHAnsi"/>
              </w:rPr>
              <w:t xml:space="preserve">– risk and return – getting to a target allocation – </w:t>
            </w:r>
            <w:r w:rsidR="00C8484D" w:rsidRPr="00F81E0F">
              <w:rPr>
                <w:rFonts w:cstheme="minorHAnsi"/>
              </w:rPr>
              <w:t>disc</w:t>
            </w:r>
            <w:r w:rsidR="005D5245" w:rsidRPr="00F81E0F">
              <w:rPr>
                <w:rFonts w:cstheme="minorHAnsi"/>
              </w:rPr>
              <w:t>iplined/opportunistic approach</w:t>
            </w:r>
          </w:p>
          <w:p w14:paraId="1FD7AAAF" w14:textId="4BD40923" w:rsidR="00DF6A6C" w:rsidRPr="00F81E0F" w:rsidRDefault="005D5245" w:rsidP="00F81E0F">
            <w:pPr>
              <w:rPr>
                <w:rFonts w:cstheme="minorHAnsi"/>
                <w:b/>
              </w:rPr>
            </w:pPr>
            <w:r w:rsidRPr="00F81E0F">
              <w:rPr>
                <w:rFonts w:cstheme="minorHAnsi"/>
              </w:rPr>
              <w:t xml:space="preserve"> </w:t>
            </w:r>
          </w:p>
        </w:tc>
      </w:tr>
      <w:tr w:rsidR="00DF6A6C" w:rsidRPr="002C0006" w14:paraId="39BAEFBE" w14:textId="77777777" w:rsidTr="00DF6A6C">
        <w:tc>
          <w:tcPr>
            <w:tcW w:w="1705" w:type="dxa"/>
          </w:tcPr>
          <w:p w14:paraId="729919D4" w14:textId="3CA0F238" w:rsidR="00DF6A6C" w:rsidRDefault="00617F00" w:rsidP="00DF6A6C">
            <w:pPr>
              <w:rPr>
                <w:rFonts w:cstheme="minorHAnsi"/>
                <w:b/>
                <w:i/>
              </w:rPr>
            </w:pPr>
            <w:r>
              <w:rPr>
                <w:rFonts w:cstheme="minorHAnsi"/>
                <w:b/>
                <w:i/>
              </w:rPr>
              <w:t>Session Six</w:t>
            </w:r>
          </w:p>
          <w:p w14:paraId="05793274" w14:textId="7DE5C999" w:rsidR="00617F00" w:rsidRPr="00617F00" w:rsidRDefault="00617F00" w:rsidP="00DF6A6C">
            <w:pPr>
              <w:rPr>
                <w:rFonts w:cstheme="minorHAnsi"/>
                <w:b/>
                <w:i/>
              </w:rPr>
            </w:pPr>
            <w:r>
              <w:rPr>
                <w:rFonts w:cstheme="minorHAnsi"/>
                <w:b/>
                <w:i/>
              </w:rPr>
              <w:t xml:space="preserve">March </w:t>
            </w:r>
            <w:r w:rsidR="00F85D89">
              <w:rPr>
                <w:rFonts w:cstheme="minorHAnsi"/>
                <w:b/>
                <w:i/>
              </w:rPr>
              <w:t>1</w:t>
            </w:r>
          </w:p>
          <w:p w14:paraId="7680E00F" w14:textId="77777777" w:rsidR="00FD02F9" w:rsidRPr="0089754B" w:rsidRDefault="00FD02F9" w:rsidP="00DF6A6C">
            <w:pPr>
              <w:rPr>
                <w:rFonts w:cstheme="minorHAnsi"/>
                <w:b/>
              </w:rPr>
            </w:pPr>
          </w:p>
          <w:p w14:paraId="4E28F80A" w14:textId="04AD2AC2" w:rsidR="00FD02F9" w:rsidRPr="0089754B" w:rsidRDefault="00FD02F9" w:rsidP="00DF6A6C">
            <w:pPr>
              <w:rPr>
                <w:rFonts w:cstheme="minorHAnsi"/>
                <w:b/>
                <w:highlight w:val="yellow"/>
              </w:rPr>
            </w:pPr>
          </w:p>
        </w:tc>
        <w:tc>
          <w:tcPr>
            <w:tcW w:w="6660" w:type="dxa"/>
          </w:tcPr>
          <w:p w14:paraId="46FDF173" w14:textId="2655977A" w:rsidR="005F00AB" w:rsidRPr="00F81E0F" w:rsidRDefault="008C2070" w:rsidP="005F00AB">
            <w:pPr>
              <w:rPr>
                <w:rFonts w:cstheme="minorHAnsi"/>
                <w:b/>
                <w:i/>
              </w:rPr>
            </w:pPr>
            <w:r w:rsidRPr="00F81E0F">
              <w:rPr>
                <w:rFonts w:cstheme="minorHAnsi"/>
                <w:b/>
                <w:i/>
              </w:rPr>
              <w:t>Portfolio C</w:t>
            </w:r>
            <w:r w:rsidR="005F00AB" w:rsidRPr="00F81E0F">
              <w:rPr>
                <w:rFonts w:cstheme="minorHAnsi"/>
                <w:b/>
                <w:i/>
              </w:rPr>
              <w:t xml:space="preserve">onstruction </w:t>
            </w:r>
            <w:r w:rsidRPr="00F81E0F">
              <w:rPr>
                <w:rFonts w:cstheme="minorHAnsi"/>
                <w:b/>
                <w:i/>
              </w:rPr>
              <w:t xml:space="preserve">2 </w:t>
            </w:r>
          </w:p>
          <w:p w14:paraId="35D9B293" w14:textId="77777777" w:rsidR="00DF6A6C" w:rsidRPr="00F81E0F" w:rsidRDefault="0032170B" w:rsidP="00132ADF">
            <w:pPr>
              <w:rPr>
                <w:rFonts w:cstheme="minorHAnsi"/>
              </w:rPr>
            </w:pPr>
            <w:r w:rsidRPr="00F81E0F">
              <w:rPr>
                <w:rFonts w:cstheme="minorHAnsi"/>
              </w:rPr>
              <w:t>Performance measures</w:t>
            </w:r>
            <w:r w:rsidR="00617F00" w:rsidRPr="00F81E0F">
              <w:rPr>
                <w:rFonts w:cstheme="minorHAnsi"/>
              </w:rPr>
              <w:t xml:space="preserve"> – benchmarks</w:t>
            </w:r>
            <w:r w:rsidRPr="00F81E0F">
              <w:rPr>
                <w:rFonts w:cstheme="minorHAnsi"/>
              </w:rPr>
              <w:t xml:space="preserve"> and outperformance</w:t>
            </w:r>
            <w:r w:rsidR="00081A5D" w:rsidRPr="00F81E0F">
              <w:rPr>
                <w:rFonts w:cstheme="minorHAnsi"/>
              </w:rPr>
              <w:t xml:space="preserve"> – contributions from sector, stock selection</w:t>
            </w:r>
            <w:r w:rsidR="009073C8" w:rsidRPr="00F81E0F">
              <w:rPr>
                <w:rFonts w:cstheme="minorHAnsi"/>
              </w:rPr>
              <w:t>/beta exposure</w:t>
            </w:r>
            <w:r w:rsidR="00081A5D" w:rsidRPr="00F81E0F">
              <w:rPr>
                <w:rFonts w:cstheme="minorHAnsi"/>
              </w:rPr>
              <w:t>, and market timing –</w:t>
            </w:r>
            <w:r w:rsidR="009073C8" w:rsidRPr="00F81E0F">
              <w:rPr>
                <w:rFonts w:cstheme="minorHAnsi"/>
              </w:rPr>
              <w:t xml:space="preserve"> </w:t>
            </w:r>
            <w:r w:rsidR="00081A5D" w:rsidRPr="00F81E0F">
              <w:rPr>
                <w:rFonts w:cstheme="minorHAnsi"/>
              </w:rPr>
              <w:t>after-tax performance –</w:t>
            </w:r>
            <w:r w:rsidR="009073C8" w:rsidRPr="00F81E0F">
              <w:rPr>
                <w:rFonts w:cstheme="minorHAnsi"/>
              </w:rPr>
              <w:t xml:space="preserve"> </w:t>
            </w:r>
            <w:r w:rsidR="00617F00" w:rsidRPr="00F81E0F">
              <w:rPr>
                <w:rFonts w:cstheme="minorHAnsi"/>
              </w:rPr>
              <w:t xml:space="preserve">risk </w:t>
            </w:r>
            <w:r w:rsidR="00081A5D" w:rsidRPr="00F81E0F">
              <w:rPr>
                <w:rFonts w:cstheme="minorHAnsi"/>
              </w:rPr>
              <w:t>and permanent loss of capital</w:t>
            </w:r>
            <w:r w:rsidR="00617F00" w:rsidRPr="00F81E0F">
              <w:rPr>
                <w:rFonts w:cstheme="minorHAnsi"/>
              </w:rPr>
              <w:t xml:space="preserve"> –</w:t>
            </w:r>
            <w:r w:rsidR="00E60CA6" w:rsidRPr="00F81E0F">
              <w:rPr>
                <w:rFonts w:cstheme="minorHAnsi"/>
              </w:rPr>
              <w:t>compounding – “be there” chart</w:t>
            </w:r>
            <w:r w:rsidR="009073C8" w:rsidRPr="00F81E0F">
              <w:rPr>
                <w:rFonts w:cstheme="minorHAnsi"/>
              </w:rPr>
              <w:t xml:space="preserve"> – nature of the endeavor, new information, </w:t>
            </w:r>
            <w:r w:rsidR="00132ADF" w:rsidRPr="00F81E0F">
              <w:rPr>
                <w:rFonts w:cstheme="minorHAnsi"/>
              </w:rPr>
              <w:t xml:space="preserve">and </w:t>
            </w:r>
            <w:r w:rsidR="009073C8" w:rsidRPr="00F81E0F">
              <w:rPr>
                <w:rFonts w:cstheme="minorHAnsi"/>
              </w:rPr>
              <w:t>exogenous events</w:t>
            </w:r>
          </w:p>
          <w:p w14:paraId="40814182" w14:textId="42359987" w:rsidR="00F81E0F" w:rsidRPr="00F81E0F" w:rsidRDefault="00F81E0F" w:rsidP="00F81E0F">
            <w:pPr>
              <w:rPr>
                <w:rFonts w:cstheme="minorHAnsi"/>
                <w:b/>
              </w:rPr>
            </w:pPr>
          </w:p>
        </w:tc>
      </w:tr>
      <w:tr w:rsidR="00DF6A6C" w:rsidRPr="002C0006" w14:paraId="1B14371F" w14:textId="77777777" w:rsidTr="00DF6A6C">
        <w:tc>
          <w:tcPr>
            <w:tcW w:w="1705" w:type="dxa"/>
          </w:tcPr>
          <w:p w14:paraId="035A5E44" w14:textId="49523EDD" w:rsidR="00DF6A6C" w:rsidRDefault="00D92319" w:rsidP="00DF6A6C">
            <w:pPr>
              <w:rPr>
                <w:rFonts w:cstheme="minorHAnsi"/>
                <w:b/>
                <w:i/>
              </w:rPr>
            </w:pPr>
            <w:r>
              <w:rPr>
                <w:rFonts w:cstheme="minorHAnsi"/>
                <w:b/>
                <w:i/>
              </w:rPr>
              <w:t>Session Seven</w:t>
            </w:r>
          </w:p>
          <w:p w14:paraId="73428850" w14:textId="4304D174" w:rsidR="00D92319" w:rsidRPr="00D92319" w:rsidRDefault="00D92319" w:rsidP="00DF6A6C">
            <w:pPr>
              <w:rPr>
                <w:rFonts w:cstheme="minorHAnsi"/>
                <w:b/>
                <w:i/>
              </w:rPr>
            </w:pPr>
            <w:r w:rsidRPr="0067146A">
              <w:rPr>
                <w:rFonts w:cstheme="minorHAnsi"/>
                <w:b/>
                <w:i/>
              </w:rPr>
              <w:t>March 2</w:t>
            </w:r>
            <w:r w:rsidR="00F85D89">
              <w:rPr>
                <w:rFonts w:cstheme="minorHAnsi"/>
                <w:b/>
                <w:i/>
              </w:rPr>
              <w:t>2</w:t>
            </w:r>
          </w:p>
          <w:p w14:paraId="538C2BDB" w14:textId="6402CBBD" w:rsidR="001A051D" w:rsidRPr="0089754B" w:rsidRDefault="001A051D" w:rsidP="00DF6A6C">
            <w:pPr>
              <w:rPr>
                <w:rFonts w:cstheme="minorHAnsi"/>
                <w:b/>
                <w:highlight w:val="yellow"/>
              </w:rPr>
            </w:pPr>
          </w:p>
        </w:tc>
        <w:tc>
          <w:tcPr>
            <w:tcW w:w="6660" w:type="dxa"/>
          </w:tcPr>
          <w:p w14:paraId="689D01D9" w14:textId="5699664E" w:rsidR="005F00AB" w:rsidRPr="00F81E0F" w:rsidRDefault="00C8484D" w:rsidP="005F00AB">
            <w:pPr>
              <w:rPr>
                <w:rFonts w:cstheme="minorHAnsi"/>
                <w:b/>
                <w:i/>
              </w:rPr>
            </w:pPr>
            <w:r w:rsidRPr="00F81E0F">
              <w:rPr>
                <w:rFonts w:cstheme="minorHAnsi"/>
                <w:b/>
                <w:i/>
              </w:rPr>
              <w:t xml:space="preserve">Personal risk, market risk, and aspirational risk </w:t>
            </w:r>
          </w:p>
          <w:p w14:paraId="46F44444" w14:textId="77777777" w:rsidR="00DF6A6C" w:rsidRPr="00F81E0F" w:rsidRDefault="007E011A" w:rsidP="007E011A">
            <w:pPr>
              <w:rPr>
                <w:rFonts w:cstheme="minorHAnsi"/>
              </w:rPr>
            </w:pPr>
            <w:r w:rsidRPr="00F81E0F">
              <w:rPr>
                <w:rFonts w:cstheme="minorHAnsi"/>
              </w:rPr>
              <w:t>Efficient markets and Markowitz backdrop – s</w:t>
            </w:r>
            <w:r w:rsidR="00D92319" w:rsidRPr="00F81E0F">
              <w:rPr>
                <w:rFonts w:cstheme="minorHAnsi"/>
              </w:rPr>
              <w:t>hift fr</w:t>
            </w:r>
            <w:r w:rsidR="00C8484D" w:rsidRPr="00F81E0F">
              <w:rPr>
                <w:rFonts w:cstheme="minorHAnsi"/>
              </w:rPr>
              <w:t xml:space="preserve">om </w:t>
            </w:r>
            <w:r w:rsidR="00D92319" w:rsidRPr="00F81E0F">
              <w:rPr>
                <w:rFonts w:cstheme="minorHAnsi"/>
              </w:rPr>
              <w:t>“</w:t>
            </w:r>
            <w:r w:rsidR="00C8484D" w:rsidRPr="00F81E0F">
              <w:rPr>
                <w:rFonts w:cstheme="minorHAnsi"/>
              </w:rPr>
              <w:t>returns</w:t>
            </w:r>
            <w:r w:rsidR="00D92319" w:rsidRPr="00F81E0F">
              <w:rPr>
                <w:rFonts w:cstheme="minorHAnsi"/>
              </w:rPr>
              <w:t>”</w:t>
            </w:r>
            <w:r w:rsidR="00C8484D" w:rsidRPr="00F81E0F">
              <w:rPr>
                <w:rFonts w:cstheme="minorHAnsi"/>
              </w:rPr>
              <w:t xml:space="preserve"> </w:t>
            </w:r>
            <w:r w:rsidR="00D92319" w:rsidRPr="00F81E0F">
              <w:rPr>
                <w:rFonts w:cstheme="minorHAnsi"/>
              </w:rPr>
              <w:t>focus</w:t>
            </w:r>
            <w:r w:rsidR="0078176D" w:rsidRPr="00F81E0F">
              <w:rPr>
                <w:rFonts w:cstheme="minorHAnsi"/>
              </w:rPr>
              <w:t>ed investing</w:t>
            </w:r>
            <w:r w:rsidR="00D92319" w:rsidRPr="00F81E0F">
              <w:rPr>
                <w:rFonts w:cstheme="minorHAnsi"/>
              </w:rPr>
              <w:t xml:space="preserve"> </w:t>
            </w:r>
            <w:r w:rsidR="00C8484D" w:rsidRPr="00F81E0F">
              <w:rPr>
                <w:rFonts w:cstheme="minorHAnsi"/>
              </w:rPr>
              <w:t>to “goals-based” approach</w:t>
            </w:r>
            <w:r w:rsidR="00D92319" w:rsidRPr="00F81E0F">
              <w:rPr>
                <w:rFonts w:cstheme="minorHAnsi"/>
              </w:rPr>
              <w:t xml:space="preserve"> – using </w:t>
            </w:r>
            <w:r w:rsidR="00C8484D" w:rsidRPr="00F81E0F">
              <w:rPr>
                <w:rFonts w:cstheme="minorHAnsi"/>
              </w:rPr>
              <w:t xml:space="preserve">“risk-buckets” </w:t>
            </w:r>
            <w:r w:rsidR="0078176D" w:rsidRPr="00F81E0F">
              <w:rPr>
                <w:rFonts w:cstheme="minorHAnsi"/>
              </w:rPr>
              <w:t xml:space="preserve">with </w:t>
            </w:r>
            <w:r w:rsidR="0078176D" w:rsidRPr="00F81E0F">
              <w:rPr>
                <w:rFonts w:cstheme="minorHAnsi"/>
              </w:rPr>
              <w:lastRenderedPageBreak/>
              <w:t>individual investors –</w:t>
            </w:r>
            <w:r w:rsidR="00C8484D" w:rsidRPr="00F81E0F">
              <w:rPr>
                <w:rFonts w:cstheme="minorHAnsi"/>
              </w:rPr>
              <w:t xml:space="preserve"> </w:t>
            </w:r>
            <w:r w:rsidR="0078176D" w:rsidRPr="00F81E0F">
              <w:rPr>
                <w:rFonts w:cstheme="minorHAnsi"/>
              </w:rPr>
              <w:t>defining</w:t>
            </w:r>
            <w:r w:rsidR="00C8484D" w:rsidRPr="00F81E0F">
              <w:rPr>
                <w:rFonts w:cstheme="minorHAnsi"/>
              </w:rPr>
              <w:t xml:space="preserve"> “personal risk,” “market risk,” and “aspirational risk” </w:t>
            </w:r>
            <w:r w:rsidR="0078176D" w:rsidRPr="00F81E0F">
              <w:rPr>
                <w:rFonts w:cstheme="minorHAnsi"/>
              </w:rPr>
              <w:t xml:space="preserve">– </w:t>
            </w:r>
            <w:r w:rsidR="0032170B" w:rsidRPr="00F81E0F">
              <w:rPr>
                <w:rFonts w:cstheme="minorHAnsi"/>
              </w:rPr>
              <w:t xml:space="preserve">preservation and wealth mobility </w:t>
            </w:r>
          </w:p>
          <w:p w14:paraId="2D5E70A5" w14:textId="1D4FAB88" w:rsidR="00F81E0F" w:rsidRPr="00F81E0F" w:rsidRDefault="00F81E0F" w:rsidP="00F81E0F">
            <w:pPr>
              <w:rPr>
                <w:rFonts w:cstheme="minorHAnsi"/>
                <w:b/>
              </w:rPr>
            </w:pPr>
          </w:p>
        </w:tc>
      </w:tr>
      <w:tr w:rsidR="00DF6A6C" w:rsidRPr="002C0006" w14:paraId="5F5369F9" w14:textId="77777777" w:rsidTr="00DF6A6C">
        <w:tc>
          <w:tcPr>
            <w:tcW w:w="1705" w:type="dxa"/>
          </w:tcPr>
          <w:p w14:paraId="342E71B2" w14:textId="77777777" w:rsidR="00F81EE1" w:rsidRDefault="00F81EE1" w:rsidP="00DF6A6C">
            <w:pPr>
              <w:rPr>
                <w:rFonts w:cstheme="minorHAnsi"/>
                <w:b/>
                <w:i/>
              </w:rPr>
            </w:pPr>
            <w:r>
              <w:rPr>
                <w:rFonts w:cstheme="minorHAnsi"/>
                <w:b/>
                <w:i/>
              </w:rPr>
              <w:lastRenderedPageBreak/>
              <w:t>Session Eight</w:t>
            </w:r>
          </w:p>
          <w:p w14:paraId="7193572E" w14:textId="5A4D4DEC" w:rsidR="002B55F3" w:rsidRPr="002B55F3" w:rsidRDefault="002B55F3" w:rsidP="00DF6A6C">
            <w:pPr>
              <w:rPr>
                <w:rFonts w:cstheme="minorHAnsi"/>
                <w:b/>
                <w:i/>
              </w:rPr>
            </w:pPr>
            <w:r>
              <w:rPr>
                <w:rFonts w:cstheme="minorHAnsi"/>
                <w:b/>
                <w:i/>
              </w:rPr>
              <w:t xml:space="preserve">March </w:t>
            </w:r>
            <w:r w:rsidR="00F85D89">
              <w:rPr>
                <w:rFonts w:cstheme="minorHAnsi"/>
                <w:b/>
                <w:i/>
              </w:rPr>
              <w:t>29</w:t>
            </w:r>
          </w:p>
        </w:tc>
        <w:tc>
          <w:tcPr>
            <w:tcW w:w="6660" w:type="dxa"/>
          </w:tcPr>
          <w:p w14:paraId="04B609C4" w14:textId="77777777" w:rsidR="00DF6A6C" w:rsidRPr="00F81E0F" w:rsidRDefault="00CA745F" w:rsidP="00F81EE1">
            <w:pPr>
              <w:rPr>
                <w:rFonts w:cstheme="minorHAnsi"/>
                <w:b/>
                <w:i/>
              </w:rPr>
            </w:pPr>
            <w:r w:rsidRPr="00F81E0F">
              <w:rPr>
                <w:rFonts w:cstheme="minorHAnsi"/>
                <w:b/>
                <w:i/>
              </w:rPr>
              <w:t>Alternative Investments</w:t>
            </w:r>
          </w:p>
          <w:p w14:paraId="5386950E" w14:textId="77777777" w:rsidR="00F81EE1" w:rsidRPr="00F81E0F" w:rsidRDefault="00F81EE1" w:rsidP="009F1925">
            <w:pPr>
              <w:rPr>
                <w:rFonts w:cstheme="minorHAnsi"/>
              </w:rPr>
            </w:pPr>
            <w:r w:rsidRPr="00F81E0F">
              <w:rPr>
                <w:rFonts w:cstheme="minorHAnsi"/>
              </w:rPr>
              <w:t>Role of illiquidity</w:t>
            </w:r>
            <w:r w:rsidR="009F1925" w:rsidRPr="00F81E0F">
              <w:rPr>
                <w:rFonts w:cstheme="minorHAnsi"/>
              </w:rPr>
              <w:t xml:space="preserve"> </w:t>
            </w:r>
            <w:r w:rsidRPr="00F81E0F">
              <w:rPr>
                <w:rFonts w:cstheme="minorHAnsi"/>
              </w:rPr>
              <w:t>–</w:t>
            </w:r>
            <w:r w:rsidR="009F1925" w:rsidRPr="00F81E0F">
              <w:rPr>
                <w:rFonts w:cstheme="minorHAnsi"/>
              </w:rPr>
              <w:t xml:space="preserve"> </w:t>
            </w:r>
            <w:r w:rsidRPr="00F81E0F">
              <w:rPr>
                <w:rFonts w:cstheme="minorHAnsi"/>
              </w:rPr>
              <w:t xml:space="preserve">performance of alternatives – management fees, carried interest, preferred returns – </w:t>
            </w:r>
            <w:r w:rsidR="00132ADF" w:rsidRPr="00F81E0F">
              <w:rPr>
                <w:rFonts w:cstheme="minorHAnsi"/>
              </w:rPr>
              <w:t xml:space="preserve">overview of relevant firms – </w:t>
            </w:r>
            <w:r w:rsidRPr="00F81E0F">
              <w:rPr>
                <w:rFonts w:cstheme="minorHAnsi"/>
              </w:rPr>
              <w:t>hedge funds: equity long/short, global macro, relative value, event-driven – private equity: LBO, real estate, distressed debt</w:t>
            </w:r>
            <w:r w:rsidR="00132ADF" w:rsidRPr="00F81E0F">
              <w:rPr>
                <w:rFonts w:cstheme="minorHAnsi"/>
              </w:rPr>
              <w:t xml:space="preserve">, infrastructure </w:t>
            </w:r>
          </w:p>
          <w:p w14:paraId="1FF6EF9F" w14:textId="17111716" w:rsidR="00F81E0F" w:rsidRPr="00F81E0F" w:rsidRDefault="00F81E0F" w:rsidP="00F81E0F">
            <w:pPr>
              <w:rPr>
                <w:rFonts w:cstheme="minorHAnsi"/>
                <w:b/>
              </w:rPr>
            </w:pPr>
          </w:p>
        </w:tc>
      </w:tr>
      <w:tr w:rsidR="00E23F7E" w:rsidRPr="002C0006" w14:paraId="28FF08A4" w14:textId="77777777" w:rsidTr="00DF6A6C">
        <w:tc>
          <w:tcPr>
            <w:tcW w:w="1705" w:type="dxa"/>
          </w:tcPr>
          <w:p w14:paraId="5EB2135D" w14:textId="77777777" w:rsidR="00E23F7E" w:rsidRDefault="00F81EE1" w:rsidP="00E23F7E">
            <w:pPr>
              <w:rPr>
                <w:rFonts w:cstheme="minorHAnsi"/>
                <w:b/>
                <w:i/>
              </w:rPr>
            </w:pPr>
            <w:r>
              <w:rPr>
                <w:rFonts w:cstheme="minorHAnsi"/>
                <w:b/>
                <w:i/>
              </w:rPr>
              <w:t>Session Nine</w:t>
            </w:r>
          </w:p>
          <w:p w14:paraId="1E154CAD" w14:textId="0FC2C46C" w:rsidR="00F81EE1" w:rsidRPr="00F81EE1" w:rsidRDefault="00F81EE1" w:rsidP="00E23F7E">
            <w:pPr>
              <w:rPr>
                <w:rFonts w:cstheme="minorHAnsi"/>
                <w:b/>
                <w:i/>
                <w:highlight w:val="yellow"/>
              </w:rPr>
            </w:pPr>
            <w:r>
              <w:rPr>
                <w:rFonts w:cstheme="minorHAnsi"/>
                <w:b/>
                <w:i/>
              </w:rPr>
              <w:t xml:space="preserve">April </w:t>
            </w:r>
            <w:r w:rsidR="00F85D89">
              <w:rPr>
                <w:rFonts w:cstheme="minorHAnsi"/>
                <w:b/>
                <w:i/>
              </w:rPr>
              <w:t>5</w:t>
            </w:r>
          </w:p>
        </w:tc>
        <w:tc>
          <w:tcPr>
            <w:tcW w:w="6660" w:type="dxa"/>
          </w:tcPr>
          <w:p w14:paraId="510F1381" w14:textId="77777777" w:rsidR="00301756" w:rsidRPr="00F81E0F" w:rsidRDefault="00301756" w:rsidP="00301756">
            <w:pPr>
              <w:rPr>
                <w:rFonts w:cstheme="minorHAnsi"/>
                <w:b/>
                <w:i/>
              </w:rPr>
            </w:pPr>
            <w:r w:rsidRPr="00F81E0F">
              <w:rPr>
                <w:rFonts w:cstheme="minorHAnsi"/>
                <w:b/>
                <w:i/>
              </w:rPr>
              <w:t xml:space="preserve">Relationship Management </w:t>
            </w:r>
          </w:p>
          <w:p w14:paraId="124D30BF" w14:textId="77777777" w:rsidR="00E23F7E" w:rsidRPr="00F81E0F" w:rsidRDefault="00301756" w:rsidP="00301756">
            <w:pPr>
              <w:rPr>
                <w:rFonts w:cstheme="minorHAnsi"/>
              </w:rPr>
            </w:pPr>
            <w:r w:rsidRPr="00F81E0F">
              <w:rPr>
                <w:rFonts w:cstheme="minorHAnsi"/>
              </w:rPr>
              <w:t>Know your client – understanding client needs and goals – emotional and analytical intelligence – client sophistication – human capital – styles of client communication – acquiring new clients – building a network – communicating your value and setting expectations</w:t>
            </w:r>
          </w:p>
          <w:p w14:paraId="0A242DD5" w14:textId="05AF5C32" w:rsidR="00F81E0F" w:rsidRPr="00F81E0F" w:rsidRDefault="00F81E0F" w:rsidP="00F81E0F">
            <w:pPr>
              <w:rPr>
                <w:rFonts w:cstheme="minorHAnsi"/>
                <w:b/>
              </w:rPr>
            </w:pPr>
          </w:p>
        </w:tc>
      </w:tr>
      <w:tr w:rsidR="00E23F7E" w:rsidRPr="002C0006" w14:paraId="53BB0A7E" w14:textId="77777777" w:rsidTr="00DF6A6C">
        <w:tc>
          <w:tcPr>
            <w:tcW w:w="1705" w:type="dxa"/>
          </w:tcPr>
          <w:p w14:paraId="40E3925A" w14:textId="75726A32" w:rsidR="00E23F7E" w:rsidRDefault="00F85C17" w:rsidP="00E23F7E">
            <w:pPr>
              <w:rPr>
                <w:rFonts w:cstheme="minorHAnsi"/>
                <w:b/>
                <w:i/>
              </w:rPr>
            </w:pPr>
            <w:r>
              <w:rPr>
                <w:rFonts w:cstheme="minorHAnsi"/>
                <w:b/>
                <w:i/>
              </w:rPr>
              <w:t>Session Ten</w:t>
            </w:r>
          </w:p>
          <w:p w14:paraId="5ACEBB40" w14:textId="25844DC6" w:rsidR="00F85C17" w:rsidRPr="00F85C17" w:rsidRDefault="00F85C17" w:rsidP="00E23F7E">
            <w:pPr>
              <w:rPr>
                <w:rFonts w:cstheme="minorHAnsi"/>
                <w:b/>
                <w:i/>
                <w:highlight w:val="yellow"/>
              </w:rPr>
            </w:pPr>
            <w:r>
              <w:rPr>
                <w:rFonts w:cstheme="minorHAnsi"/>
                <w:b/>
                <w:i/>
              </w:rPr>
              <w:t xml:space="preserve">April </w:t>
            </w:r>
            <w:r w:rsidR="002B55F3">
              <w:rPr>
                <w:rFonts w:cstheme="minorHAnsi"/>
                <w:b/>
                <w:i/>
              </w:rPr>
              <w:t>1</w:t>
            </w:r>
            <w:r w:rsidR="00F85D89">
              <w:rPr>
                <w:rFonts w:cstheme="minorHAnsi"/>
                <w:b/>
                <w:i/>
              </w:rPr>
              <w:t>2</w:t>
            </w:r>
          </w:p>
        </w:tc>
        <w:tc>
          <w:tcPr>
            <w:tcW w:w="6660" w:type="dxa"/>
          </w:tcPr>
          <w:p w14:paraId="2015D199" w14:textId="77777777" w:rsidR="00301756" w:rsidRPr="00F81E0F" w:rsidRDefault="00301756" w:rsidP="00301756">
            <w:pPr>
              <w:rPr>
                <w:rFonts w:cstheme="minorHAnsi"/>
                <w:b/>
                <w:i/>
              </w:rPr>
            </w:pPr>
            <w:r w:rsidRPr="00F81E0F">
              <w:rPr>
                <w:rFonts w:cstheme="minorHAnsi"/>
                <w:b/>
                <w:i/>
              </w:rPr>
              <w:t xml:space="preserve">Taxes, Trusts, and Estates  </w:t>
            </w:r>
          </w:p>
          <w:p w14:paraId="5FFB5F73" w14:textId="77777777" w:rsidR="00301756" w:rsidRPr="00F81E0F" w:rsidRDefault="00301756" w:rsidP="00301756">
            <w:pPr>
              <w:rPr>
                <w:rFonts w:cstheme="minorHAnsi"/>
              </w:rPr>
            </w:pPr>
            <w:r w:rsidRPr="00F81E0F">
              <w:rPr>
                <w:rFonts w:cstheme="minorHAnsi"/>
              </w:rPr>
              <w:t>Wealth transfer for tax-sensitive individuals – overview of capital gains tax, gift tax, estate tax – tax-deferred growth – cost-basis and step-ups – planning vehicles used in wealth transfer – family trusts, charitable trusts, family foundations – family dynamics and governance</w:t>
            </w:r>
          </w:p>
          <w:p w14:paraId="526A513A" w14:textId="1BB3C319" w:rsidR="00F81E0F" w:rsidRPr="00F81E0F" w:rsidRDefault="00F81E0F" w:rsidP="00F81E0F">
            <w:pPr>
              <w:rPr>
                <w:rFonts w:cstheme="minorHAnsi"/>
                <w:b/>
              </w:rPr>
            </w:pPr>
          </w:p>
        </w:tc>
      </w:tr>
      <w:tr w:rsidR="00E23F7E" w:rsidRPr="002C0006" w14:paraId="10B26840" w14:textId="77777777" w:rsidTr="00DF6A6C">
        <w:tc>
          <w:tcPr>
            <w:tcW w:w="1705" w:type="dxa"/>
          </w:tcPr>
          <w:p w14:paraId="45EBC996" w14:textId="3230D88F" w:rsidR="00E23F7E" w:rsidRDefault="002A12FD" w:rsidP="00E23F7E">
            <w:pPr>
              <w:rPr>
                <w:rFonts w:cstheme="minorHAnsi"/>
                <w:b/>
                <w:i/>
              </w:rPr>
            </w:pPr>
            <w:r>
              <w:rPr>
                <w:rFonts w:cstheme="minorHAnsi"/>
                <w:b/>
                <w:i/>
              </w:rPr>
              <w:t>Session Eleven</w:t>
            </w:r>
          </w:p>
          <w:p w14:paraId="5DCB8A3C" w14:textId="2154D7B3" w:rsidR="002A12FD" w:rsidRPr="002A12FD" w:rsidRDefault="002A12FD" w:rsidP="00E23F7E">
            <w:pPr>
              <w:rPr>
                <w:rFonts w:cstheme="minorHAnsi"/>
                <w:b/>
                <w:i/>
              </w:rPr>
            </w:pPr>
            <w:r w:rsidRPr="00150841">
              <w:rPr>
                <w:rFonts w:cstheme="minorHAnsi"/>
                <w:b/>
                <w:i/>
              </w:rPr>
              <w:t xml:space="preserve">April </w:t>
            </w:r>
            <w:r w:rsidR="00F85D89">
              <w:rPr>
                <w:rFonts w:cstheme="minorHAnsi"/>
                <w:b/>
                <w:i/>
              </w:rPr>
              <w:t>19</w:t>
            </w:r>
          </w:p>
        </w:tc>
        <w:tc>
          <w:tcPr>
            <w:tcW w:w="6660" w:type="dxa"/>
          </w:tcPr>
          <w:p w14:paraId="16F0C689" w14:textId="77777777" w:rsidR="00E23F7E" w:rsidRPr="00F81E0F" w:rsidRDefault="002A12FD" w:rsidP="002A12FD">
            <w:pPr>
              <w:rPr>
                <w:rFonts w:cstheme="minorHAnsi"/>
                <w:b/>
                <w:i/>
              </w:rPr>
            </w:pPr>
            <w:r w:rsidRPr="00F81E0F">
              <w:rPr>
                <w:rFonts w:cstheme="minorHAnsi"/>
                <w:b/>
                <w:i/>
              </w:rPr>
              <w:t>Macro Environment</w:t>
            </w:r>
            <w:r w:rsidR="00E23F7E" w:rsidRPr="00F81E0F">
              <w:rPr>
                <w:rFonts w:cstheme="minorHAnsi"/>
                <w:b/>
                <w:i/>
              </w:rPr>
              <w:t xml:space="preserve"> </w:t>
            </w:r>
          </w:p>
          <w:p w14:paraId="2BE8E9C7" w14:textId="77777777" w:rsidR="00F81E0F" w:rsidRPr="00F81E0F" w:rsidRDefault="00073480" w:rsidP="00F81E0F">
            <w:pPr>
              <w:rPr>
                <w:rFonts w:cstheme="minorHAnsi"/>
              </w:rPr>
            </w:pPr>
            <w:r w:rsidRPr="00F81E0F">
              <w:rPr>
                <w:rFonts w:cstheme="minorHAnsi"/>
              </w:rPr>
              <w:t xml:space="preserve">Market outlook – </w:t>
            </w:r>
            <w:r w:rsidR="009073C8" w:rsidRPr="00F81E0F">
              <w:rPr>
                <w:rFonts w:cstheme="minorHAnsi"/>
              </w:rPr>
              <w:t xml:space="preserve">U.S. and global growth – inflation/deflation – </w:t>
            </w:r>
            <w:r w:rsidRPr="00F81E0F">
              <w:rPr>
                <w:rFonts w:cstheme="minorHAnsi"/>
              </w:rPr>
              <w:t xml:space="preserve">interest </w:t>
            </w:r>
            <w:r w:rsidR="009073C8" w:rsidRPr="00F81E0F">
              <w:rPr>
                <w:rFonts w:cstheme="minorHAnsi"/>
              </w:rPr>
              <w:t>rate environment – wages and unemployment – productivity – demographics – political environment – regulatory environment – sector disruptions</w:t>
            </w:r>
            <w:r w:rsidRPr="00F81E0F">
              <w:rPr>
                <w:rFonts w:cstheme="minorHAnsi"/>
              </w:rPr>
              <w:t xml:space="preserve">, technology and biotechnology – public versus private equity </w:t>
            </w:r>
          </w:p>
          <w:p w14:paraId="64830061" w14:textId="3556CC28" w:rsidR="00F81E0F" w:rsidRPr="00F81E0F" w:rsidRDefault="00F81E0F" w:rsidP="00F81E0F">
            <w:pPr>
              <w:rPr>
                <w:rFonts w:cstheme="minorHAnsi"/>
                <w:b/>
                <w:bCs/>
              </w:rPr>
            </w:pPr>
            <w:r w:rsidRPr="00F81E0F">
              <w:rPr>
                <w:rFonts w:cstheme="minorHAnsi"/>
                <w:b/>
                <w:bCs/>
              </w:rPr>
              <w:t xml:space="preserve"> </w:t>
            </w:r>
          </w:p>
        </w:tc>
      </w:tr>
      <w:tr w:rsidR="00E23F7E" w:rsidRPr="002C0006" w14:paraId="6B28166E" w14:textId="77777777" w:rsidTr="00DF6A6C">
        <w:tc>
          <w:tcPr>
            <w:tcW w:w="1705" w:type="dxa"/>
          </w:tcPr>
          <w:p w14:paraId="1F89A20D" w14:textId="7E1A940D" w:rsidR="00E23F7E" w:rsidRDefault="00824EBE" w:rsidP="00E23F7E">
            <w:pPr>
              <w:rPr>
                <w:rFonts w:cstheme="minorHAnsi"/>
                <w:b/>
                <w:i/>
              </w:rPr>
            </w:pPr>
            <w:r>
              <w:rPr>
                <w:rFonts w:cstheme="minorHAnsi"/>
                <w:b/>
                <w:i/>
              </w:rPr>
              <w:t>Session Twelve</w:t>
            </w:r>
          </w:p>
          <w:p w14:paraId="498E573E" w14:textId="0EEE1592" w:rsidR="00824EBE" w:rsidRPr="00824EBE" w:rsidRDefault="00824EBE" w:rsidP="00E23F7E">
            <w:pPr>
              <w:rPr>
                <w:rFonts w:cstheme="minorHAnsi"/>
                <w:b/>
                <w:i/>
                <w:highlight w:val="yellow"/>
              </w:rPr>
            </w:pPr>
            <w:r>
              <w:rPr>
                <w:rFonts w:cstheme="minorHAnsi"/>
                <w:b/>
                <w:i/>
              </w:rPr>
              <w:t xml:space="preserve">April </w:t>
            </w:r>
            <w:r w:rsidR="002B55F3">
              <w:rPr>
                <w:rFonts w:cstheme="minorHAnsi"/>
                <w:b/>
                <w:i/>
              </w:rPr>
              <w:t>2</w:t>
            </w:r>
            <w:r w:rsidR="00F85D89">
              <w:rPr>
                <w:rFonts w:cstheme="minorHAnsi"/>
                <w:b/>
                <w:i/>
              </w:rPr>
              <w:t>6</w:t>
            </w:r>
          </w:p>
        </w:tc>
        <w:tc>
          <w:tcPr>
            <w:tcW w:w="6660" w:type="dxa"/>
          </w:tcPr>
          <w:p w14:paraId="7D7ACD6F" w14:textId="06FDF027" w:rsidR="00E23F7E" w:rsidRPr="00F81E0F" w:rsidRDefault="005358A6" w:rsidP="00750DC3">
            <w:pPr>
              <w:rPr>
                <w:rFonts w:cstheme="minorHAnsi"/>
                <w:b/>
                <w:highlight w:val="yellow"/>
              </w:rPr>
            </w:pPr>
            <w:r w:rsidRPr="00F81E0F">
              <w:rPr>
                <w:rFonts w:cstheme="minorHAnsi"/>
                <w:b/>
                <w:i/>
              </w:rPr>
              <w:t>Final Presentations</w:t>
            </w:r>
            <w:r w:rsidR="00750DC3" w:rsidRPr="00F81E0F">
              <w:rPr>
                <w:rFonts w:cstheme="minorHAnsi"/>
                <w:b/>
                <w:i/>
              </w:rPr>
              <w:t xml:space="preserve"> </w:t>
            </w:r>
          </w:p>
        </w:tc>
      </w:tr>
    </w:tbl>
    <w:p w14:paraId="7BF16495" w14:textId="77777777" w:rsidR="00DF6A6C" w:rsidRDefault="00DF6A6C" w:rsidP="00A636EF">
      <w:pPr>
        <w:spacing w:after="0"/>
        <w:rPr>
          <w:b/>
          <w:highlight w:val="yellow"/>
        </w:rPr>
      </w:pPr>
    </w:p>
    <w:p w14:paraId="76AC943F" w14:textId="77777777" w:rsidR="00DF6A6C" w:rsidRDefault="00DF6A6C" w:rsidP="00A636EF">
      <w:pPr>
        <w:spacing w:after="0"/>
        <w:rPr>
          <w:b/>
          <w:highlight w:val="yellow"/>
        </w:rPr>
      </w:pPr>
    </w:p>
    <w:p w14:paraId="55C03949" w14:textId="77777777" w:rsidR="00DF6A6C" w:rsidRDefault="00DF6A6C" w:rsidP="00A636EF">
      <w:pPr>
        <w:spacing w:after="0"/>
        <w:rPr>
          <w:b/>
          <w:highlight w:val="yellow"/>
        </w:rPr>
      </w:pPr>
    </w:p>
    <w:p w14:paraId="4A627DDC" w14:textId="77777777" w:rsidR="00DF6A6C" w:rsidRDefault="00DF6A6C" w:rsidP="00A636EF">
      <w:pPr>
        <w:spacing w:after="0"/>
        <w:rPr>
          <w:b/>
          <w:highlight w:val="yellow"/>
        </w:rPr>
      </w:pPr>
    </w:p>
    <w:p w14:paraId="3F8340AE" w14:textId="77777777" w:rsidR="00DF6A6C" w:rsidRDefault="00DF6A6C" w:rsidP="00A636EF">
      <w:pPr>
        <w:spacing w:after="0"/>
        <w:rPr>
          <w:b/>
          <w:highlight w:val="yellow"/>
        </w:rPr>
      </w:pPr>
    </w:p>
    <w:p w14:paraId="2955324C" w14:textId="77777777" w:rsidR="00DF6A6C" w:rsidRDefault="00DF6A6C" w:rsidP="00A636EF">
      <w:pPr>
        <w:spacing w:after="0"/>
        <w:rPr>
          <w:b/>
          <w:highlight w:val="yellow"/>
        </w:rPr>
      </w:pPr>
    </w:p>
    <w:p w14:paraId="44775457" w14:textId="77777777" w:rsidR="00DF6A6C" w:rsidRDefault="00DF6A6C" w:rsidP="00A636EF">
      <w:pPr>
        <w:spacing w:after="0"/>
        <w:rPr>
          <w:b/>
          <w:highlight w:val="yellow"/>
        </w:rPr>
      </w:pPr>
    </w:p>
    <w:p w14:paraId="30EB796E" w14:textId="77777777" w:rsidR="00DF6A6C" w:rsidRDefault="00DF6A6C" w:rsidP="00A636EF">
      <w:pPr>
        <w:spacing w:after="0"/>
        <w:rPr>
          <w:b/>
          <w:highlight w:val="yellow"/>
        </w:rPr>
      </w:pPr>
    </w:p>
    <w:p w14:paraId="549E330C" w14:textId="77777777" w:rsidR="00DF6A6C" w:rsidRDefault="00DF6A6C" w:rsidP="00A636EF">
      <w:pPr>
        <w:spacing w:after="0"/>
        <w:rPr>
          <w:b/>
          <w:highlight w:val="yellow"/>
        </w:rPr>
      </w:pPr>
    </w:p>
    <w:p w14:paraId="54193524" w14:textId="77777777" w:rsidR="00DF6A6C" w:rsidRDefault="00DF6A6C" w:rsidP="00A636EF">
      <w:pPr>
        <w:spacing w:after="0"/>
        <w:rPr>
          <w:b/>
          <w:highlight w:val="yellow"/>
        </w:rPr>
      </w:pPr>
    </w:p>
    <w:p w14:paraId="6618817D" w14:textId="77777777" w:rsidR="00DF6A6C" w:rsidRDefault="00DF6A6C" w:rsidP="00A636EF">
      <w:pPr>
        <w:spacing w:after="0"/>
        <w:rPr>
          <w:b/>
          <w:highlight w:val="yellow"/>
        </w:rPr>
      </w:pPr>
    </w:p>
    <w:p w14:paraId="552C8953" w14:textId="77777777" w:rsidR="00DF6A6C" w:rsidRDefault="00DF6A6C" w:rsidP="00A636EF">
      <w:pPr>
        <w:spacing w:after="0"/>
        <w:rPr>
          <w:b/>
          <w:highlight w:val="yellow"/>
        </w:rPr>
      </w:pPr>
    </w:p>
    <w:p w14:paraId="289D2B17" w14:textId="77777777" w:rsidR="00DF6A6C" w:rsidRDefault="00DF6A6C" w:rsidP="00A636EF">
      <w:pPr>
        <w:spacing w:after="0"/>
        <w:rPr>
          <w:b/>
          <w:highlight w:val="yellow"/>
        </w:rPr>
      </w:pPr>
    </w:p>
    <w:p w14:paraId="308AE773" w14:textId="77777777" w:rsidR="00DF6A6C" w:rsidRDefault="00DF6A6C" w:rsidP="00A636EF">
      <w:pPr>
        <w:spacing w:after="0"/>
        <w:rPr>
          <w:b/>
          <w:highlight w:val="yellow"/>
        </w:rPr>
      </w:pPr>
    </w:p>
    <w:p w14:paraId="5BDDF54D" w14:textId="77777777" w:rsidR="00DF6A6C" w:rsidRDefault="00DF6A6C" w:rsidP="00A636EF">
      <w:pPr>
        <w:spacing w:after="0"/>
        <w:rPr>
          <w:b/>
          <w:highlight w:val="yellow"/>
        </w:rPr>
      </w:pPr>
    </w:p>
    <w:p w14:paraId="6D187299" w14:textId="77777777" w:rsidR="00DF6A6C" w:rsidRDefault="00DF6A6C" w:rsidP="00A636EF">
      <w:pPr>
        <w:spacing w:after="0"/>
        <w:rPr>
          <w:b/>
          <w:highlight w:val="yellow"/>
        </w:rPr>
      </w:pPr>
    </w:p>
    <w:p w14:paraId="5DF13970" w14:textId="77777777" w:rsidR="00DF6A6C" w:rsidRDefault="00DF6A6C" w:rsidP="00A636EF">
      <w:pPr>
        <w:spacing w:after="0"/>
        <w:rPr>
          <w:b/>
          <w:highlight w:val="yellow"/>
        </w:rPr>
      </w:pPr>
    </w:p>
    <w:p w14:paraId="0A356039" w14:textId="77777777" w:rsidR="00DF6A6C" w:rsidRDefault="00DF6A6C" w:rsidP="00A636EF">
      <w:pPr>
        <w:spacing w:after="0"/>
        <w:rPr>
          <w:b/>
          <w:highlight w:val="yellow"/>
        </w:rPr>
      </w:pPr>
    </w:p>
    <w:p w14:paraId="3CB918B7" w14:textId="77777777" w:rsidR="00DF6A6C" w:rsidRDefault="00DF6A6C" w:rsidP="00A636EF">
      <w:pPr>
        <w:spacing w:after="0"/>
        <w:rPr>
          <w:b/>
          <w:highlight w:val="yellow"/>
        </w:rPr>
      </w:pPr>
    </w:p>
    <w:p w14:paraId="23F5EC30" w14:textId="77777777" w:rsidR="00DF6A6C" w:rsidRDefault="00DF6A6C" w:rsidP="00A636EF">
      <w:pPr>
        <w:spacing w:after="0"/>
        <w:rPr>
          <w:b/>
          <w:highlight w:val="yellow"/>
        </w:rPr>
      </w:pPr>
    </w:p>
    <w:p w14:paraId="2C72C0C2" w14:textId="77777777" w:rsidR="00DF6A6C" w:rsidRDefault="00DF6A6C" w:rsidP="00A636EF">
      <w:pPr>
        <w:spacing w:after="0"/>
        <w:rPr>
          <w:b/>
          <w:highlight w:val="yellow"/>
        </w:rPr>
      </w:pPr>
    </w:p>
    <w:p w14:paraId="4959ABB7" w14:textId="77777777" w:rsidR="00DF6A6C" w:rsidRDefault="00DF6A6C" w:rsidP="00A636EF">
      <w:pPr>
        <w:spacing w:after="0"/>
        <w:rPr>
          <w:b/>
          <w:highlight w:val="yellow"/>
        </w:rPr>
      </w:pPr>
    </w:p>
    <w:p w14:paraId="101D7223" w14:textId="77777777" w:rsidR="00DF6A6C" w:rsidRDefault="00DF6A6C" w:rsidP="00A636EF">
      <w:pPr>
        <w:spacing w:after="0"/>
        <w:rPr>
          <w:b/>
          <w:highlight w:val="yellow"/>
        </w:rPr>
      </w:pPr>
    </w:p>
    <w:p w14:paraId="54B05658" w14:textId="77777777" w:rsidR="00DF6A6C" w:rsidRDefault="00DF6A6C" w:rsidP="00A636EF">
      <w:pPr>
        <w:spacing w:after="0"/>
        <w:rPr>
          <w:b/>
          <w:highlight w:val="yellow"/>
        </w:rPr>
      </w:pPr>
    </w:p>
    <w:p w14:paraId="0BED5F90" w14:textId="77777777" w:rsidR="00DF6A6C" w:rsidRDefault="00DF6A6C" w:rsidP="00A636EF">
      <w:pPr>
        <w:spacing w:after="0"/>
        <w:rPr>
          <w:b/>
          <w:highlight w:val="yellow"/>
        </w:rPr>
      </w:pPr>
    </w:p>
    <w:p w14:paraId="2C77D8E0" w14:textId="77777777" w:rsidR="00DF6A6C" w:rsidRDefault="00DF6A6C" w:rsidP="00A636EF">
      <w:pPr>
        <w:spacing w:after="0"/>
        <w:rPr>
          <w:b/>
          <w:highlight w:val="yellow"/>
        </w:rPr>
      </w:pPr>
    </w:p>
    <w:p w14:paraId="0CC7E0BF" w14:textId="77777777" w:rsidR="00DF6A6C" w:rsidRDefault="00DF6A6C" w:rsidP="00A636EF">
      <w:pPr>
        <w:spacing w:after="0"/>
        <w:rPr>
          <w:b/>
          <w:highlight w:val="yellow"/>
        </w:rPr>
      </w:pPr>
    </w:p>
    <w:p w14:paraId="6B05AAEB" w14:textId="77777777" w:rsidR="00DF6A6C" w:rsidRDefault="00DF6A6C" w:rsidP="00A636EF">
      <w:pPr>
        <w:spacing w:after="0"/>
        <w:rPr>
          <w:b/>
          <w:highlight w:val="yellow"/>
        </w:rPr>
      </w:pPr>
    </w:p>
    <w:p w14:paraId="537AE7AA" w14:textId="77777777" w:rsidR="00DF6A6C" w:rsidRDefault="00DF6A6C" w:rsidP="00A636EF">
      <w:pPr>
        <w:spacing w:after="0"/>
        <w:rPr>
          <w:b/>
          <w:highlight w:val="yellow"/>
        </w:rPr>
      </w:pPr>
    </w:p>
    <w:p w14:paraId="2D164CFC" w14:textId="77777777" w:rsidR="00BD0EBE" w:rsidRDefault="00BD0EBE" w:rsidP="00BD0EBE">
      <w:pPr>
        <w:rPr>
          <w:i/>
        </w:rPr>
      </w:pPr>
    </w:p>
    <w:p w14:paraId="4B942C6C" w14:textId="77777777" w:rsidR="00BD0EBE" w:rsidRDefault="00BD0EBE" w:rsidP="00BD0EBE">
      <w:pPr>
        <w:rPr>
          <w:i/>
        </w:rPr>
      </w:pPr>
    </w:p>
    <w:p w14:paraId="0E791303" w14:textId="77777777" w:rsidR="0080503A" w:rsidRDefault="0080503A" w:rsidP="00BD0EBE">
      <w:pPr>
        <w:rPr>
          <w:b/>
        </w:rPr>
      </w:pPr>
    </w:p>
    <w:p w14:paraId="55DB2385" w14:textId="77777777" w:rsidR="00DF6A6C" w:rsidRDefault="00DF6A6C" w:rsidP="00BD0EBE">
      <w:pPr>
        <w:rPr>
          <w:b/>
        </w:rPr>
      </w:pPr>
    </w:p>
    <w:p w14:paraId="52EE7F74" w14:textId="77777777" w:rsidR="002F07BC" w:rsidRDefault="002F07BC" w:rsidP="00BD0EBE">
      <w:pPr>
        <w:rPr>
          <w:b/>
        </w:rPr>
      </w:pPr>
    </w:p>
    <w:p w14:paraId="229C72B0" w14:textId="77777777" w:rsidR="002F07BC" w:rsidRDefault="002F07BC" w:rsidP="00BD0EBE">
      <w:pPr>
        <w:rPr>
          <w:b/>
        </w:rPr>
      </w:pPr>
    </w:p>
    <w:p w14:paraId="66E892D7" w14:textId="77777777" w:rsidR="00356329" w:rsidRDefault="00356329" w:rsidP="00BD0EBE">
      <w:pPr>
        <w:rPr>
          <w:b/>
        </w:rPr>
      </w:pPr>
    </w:p>
    <w:p w14:paraId="03563832" w14:textId="77777777" w:rsidR="00356329" w:rsidRDefault="00356329" w:rsidP="00BD0EBE">
      <w:pPr>
        <w:rPr>
          <w:b/>
        </w:rPr>
      </w:pPr>
    </w:p>
    <w:tbl>
      <w:tblPr>
        <w:tblStyle w:val="TableGrid"/>
        <w:tblpPr w:leftFromText="180" w:rightFromText="180" w:vertAnchor="text" w:horzAnchor="margin" w:tblpY="305"/>
        <w:tblW w:w="0" w:type="auto"/>
        <w:tblLook w:val="04A0" w:firstRow="1" w:lastRow="0" w:firstColumn="1" w:lastColumn="0" w:noHBand="0" w:noVBand="1"/>
      </w:tblPr>
      <w:tblGrid>
        <w:gridCol w:w="2718"/>
        <w:gridCol w:w="764"/>
      </w:tblGrid>
      <w:tr w:rsidR="00356329" w:rsidRPr="006575ED" w14:paraId="6888F3C4" w14:textId="77777777" w:rsidTr="0032421D">
        <w:tc>
          <w:tcPr>
            <w:tcW w:w="2718" w:type="dxa"/>
          </w:tcPr>
          <w:p w14:paraId="1DB693D5" w14:textId="77777777" w:rsidR="00356329" w:rsidRPr="00C84DE7" w:rsidRDefault="00C84DE7" w:rsidP="008E7B79">
            <w:pPr>
              <w:jc w:val="both"/>
            </w:pPr>
            <w:r w:rsidRPr="00C84DE7">
              <w:lastRenderedPageBreak/>
              <w:t>Class Participation</w:t>
            </w:r>
          </w:p>
        </w:tc>
        <w:tc>
          <w:tcPr>
            <w:tcW w:w="764" w:type="dxa"/>
          </w:tcPr>
          <w:p w14:paraId="005218AA" w14:textId="2F94C30E" w:rsidR="002B55F3" w:rsidRPr="00C84DE7" w:rsidRDefault="002B55F3" w:rsidP="008E7B79">
            <w:r>
              <w:t>33</w:t>
            </w:r>
            <w:r w:rsidR="00356329" w:rsidRPr="00C84DE7">
              <w:t>%</w:t>
            </w:r>
          </w:p>
        </w:tc>
      </w:tr>
      <w:tr w:rsidR="002B55F3" w:rsidRPr="006575ED" w14:paraId="2F00EAF2" w14:textId="77777777" w:rsidTr="0032421D">
        <w:tc>
          <w:tcPr>
            <w:tcW w:w="2718" w:type="dxa"/>
          </w:tcPr>
          <w:p w14:paraId="0D92D006" w14:textId="5553C779" w:rsidR="002B55F3" w:rsidRPr="00C84DE7" w:rsidRDefault="002B55F3" w:rsidP="002B55F3">
            <w:r>
              <w:t>Mid-Term Project</w:t>
            </w:r>
          </w:p>
        </w:tc>
        <w:tc>
          <w:tcPr>
            <w:tcW w:w="764" w:type="dxa"/>
          </w:tcPr>
          <w:p w14:paraId="54432575" w14:textId="2726AEEA" w:rsidR="002B55F3" w:rsidRDefault="002B55F3" w:rsidP="002B55F3">
            <w:r>
              <w:t>33</w:t>
            </w:r>
            <w:r w:rsidRPr="00C84DE7">
              <w:t>%</w:t>
            </w:r>
          </w:p>
        </w:tc>
      </w:tr>
      <w:tr w:rsidR="002B55F3" w:rsidRPr="006575ED" w14:paraId="284776D7" w14:textId="77777777" w:rsidTr="0032421D">
        <w:tc>
          <w:tcPr>
            <w:tcW w:w="2718" w:type="dxa"/>
          </w:tcPr>
          <w:p w14:paraId="0AFAD469" w14:textId="7BA07274" w:rsidR="002B55F3" w:rsidRPr="00C84DE7" w:rsidRDefault="002B55F3" w:rsidP="002B55F3">
            <w:r>
              <w:t>Final Project</w:t>
            </w:r>
          </w:p>
        </w:tc>
        <w:tc>
          <w:tcPr>
            <w:tcW w:w="764" w:type="dxa"/>
          </w:tcPr>
          <w:p w14:paraId="53B38022" w14:textId="0B296FED" w:rsidR="002B55F3" w:rsidRDefault="002B55F3" w:rsidP="002B55F3">
            <w:r>
              <w:t>33%</w:t>
            </w:r>
          </w:p>
        </w:tc>
      </w:tr>
    </w:tbl>
    <w:p w14:paraId="147BB873" w14:textId="77777777" w:rsidR="00356329" w:rsidRDefault="00356329" w:rsidP="00356329">
      <w:pPr>
        <w:spacing w:after="0"/>
        <w:rPr>
          <w:b/>
        </w:rPr>
      </w:pPr>
      <w:r w:rsidRPr="006575ED">
        <w:rPr>
          <w:b/>
        </w:rPr>
        <w:t>METHOD OF EVALUATION</w:t>
      </w:r>
    </w:p>
    <w:p w14:paraId="695FD197" w14:textId="77777777" w:rsidR="00356329" w:rsidRPr="006575ED" w:rsidRDefault="00356329" w:rsidP="00356329">
      <w:pPr>
        <w:spacing w:after="0"/>
        <w:rPr>
          <w:b/>
        </w:rPr>
      </w:pPr>
    </w:p>
    <w:p w14:paraId="1BF88871" w14:textId="77777777" w:rsidR="00356329" w:rsidRDefault="00356329" w:rsidP="00BD0EBE">
      <w:pPr>
        <w:rPr>
          <w:b/>
        </w:rPr>
      </w:pPr>
    </w:p>
    <w:p w14:paraId="289710D2" w14:textId="77777777" w:rsidR="00C84DE7" w:rsidRDefault="00C84DE7" w:rsidP="00BD0EBE">
      <w:pPr>
        <w:rPr>
          <w:b/>
        </w:rPr>
      </w:pPr>
    </w:p>
    <w:p w14:paraId="466D23DA" w14:textId="77777777" w:rsidR="00934BFC" w:rsidRPr="006575ED" w:rsidRDefault="00934BFC" w:rsidP="00BD0EBE">
      <w:pPr>
        <w:rPr>
          <w:b/>
        </w:rPr>
      </w:pPr>
      <w:r w:rsidRPr="006575ED">
        <w:rPr>
          <w:b/>
        </w:rPr>
        <w:t>ASSIGNMENTS</w:t>
      </w:r>
    </w:p>
    <w:p w14:paraId="01E1250A" w14:textId="027D29F7" w:rsidR="001036B6" w:rsidRDefault="001036B6" w:rsidP="006575ED">
      <w:pPr>
        <w:spacing w:after="0"/>
        <w:rPr>
          <w:rFonts w:cstheme="minorHAnsi"/>
        </w:rPr>
      </w:pPr>
      <w:r>
        <w:rPr>
          <w:rFonts w:cstheme="minorHAnsi"/>
        </w:rPr>
        <w:t xml:space="preserve">Students will submit written responses to our readings and/or classwork </w:t>
      </w:r>
      <w:r w:rsidR="00C72213">
        <w:rPr>
          <w:rFonts w:cstheme="minorHAnsi"/>
        </w:rPr>
        <w:t>every</w:t>
      </w:r>
      <w:r>
        <w:rPr>
          <w:rFonts w:cstheme="minorHAnsi"/>
        </w:rPr>
        <w:t xml:space="preserve"> week.  Credit for these assignments will count toward the Class Participation grade.  </w:t>
      </w:r>
    </w:p>
    <w:p w14:paraId="4D1B744B" w14:textId="3149389D" w:rsidR="002B55F3" w:rsidRDefault="002B55F3" w:rsidP="006575ED">
      <w:pPr>
        <w:spacing w:after="0"/>
        <w:rPr>
          <w:rFonts w:cstheme="minorHAnsi"/>
        </w:rPr>
      </w:pPr>
    </w:p>
    <w:p w14:paraId="610DB0EE" w14:textId="29C4A0B4" w:rsidR="002B55F3" w:rsidRDefault="002B55F3" w:rsidP="006575ED">
      <w:pPr>
        <w:spacing w:after="0"/>
        <w:rPr>
          <w:rFonts w:cstheme="minorHAnsi"/>
        </w:rPr>
      </w:pPr>
      <w:r>
        <w:rPr>
          <w:rFonts w:cstheme="minorHAnsi"/>
        </w:rPr>
        <w:t>At the mid-term, students will submit a written project about a specific investment suitable for a high-net-worth individual client.  Students will be expected to incorporate the concepts and methods introduced in the first half of the course.</w:t>
      </w:r>
    </w:p>
    <w:p w14:paraId="38317926" w14:textId="77777777" w:rsidR="001036B6" w:rsidRDefault="001036B6" w:rsidP="006575ED">
      <w:pPr>
        <w:spacing w:after="0"/>
        <w:rPr>
          <w:rFonts w:cstheme="minorHAnsi"/>
        </w:rPr>
      </w:pPr>
    </w:p>
    <w:p w14:paraId="37A93945" w14:textId="5AE56EFD" w:rsidR="00C84DE7" w:rsidRDefault="00C84DE7" w:rsidP="006575ED">
      <w:pPr>
        <w:spacing w:after="0"/>
        <w:rPr>
          <w:rFonts w:cstheme="minorHAnsi"/>
        </w:rPr>
      </w:pPr>
      <w:r w:rsidRPr="002C0006">
        <w:rPr>
          <w:rFonts w:cstheme="minorHAnsi"/>
        </w:rPr>
        <w:t>At the end of the semester</w:t>
      </w:r>
      <w:r w:rsidR="009820C7">
        <w:rPr>
          <w:rFonts w:cstheme="minorHAnsi"/>
        </w:rPr>
        <w:t>,</w:t>
      </w:r>
      <w:r w:rsidRPr="002C0006">
        <w:rPr>
          <w:rFonts w:cstheme="minorHAnsi"/>
        </w:rPr>
        <w:t xml:space="preserve"> students </w:t>
      </w:r>
      <w:r w:rsidR="009820C7">
        <w:rPr>
          <w:rFonts w:cstheme="minorHAnsi"/>
        </w:rPr>
        <w:t>will complete a final project addressing the creation of a diversified portfolio of assets for a high-net-worth individual client.</w:t>
      </w:r>
    </w:p>
    <w:p w14:paraId="31448B33" w14:textId="77777777" w:rsidR="009820C7" w:rsidRPr="009820C7" w:rsidRDefault="009820C7" w:rsidP="006575ED">
      <w:pPr>
        <w:spacing w:after="0"/>
      </w:pPr>
    </w:p>
    <w:p w14:paraId="7206E2E8" w14:textId="77777777" w:rsidR="00567FE2" w:rsidRPr="006575ED" w:rsidRDefault="006575ED" w:rsidP="006575ED">
      <w:pPr>
        <w:spacing w:after="0"/>
      </w:pPr>
      <w:proofErr w:type="gramStart"/>
      <w:r w:rsidRPr="006575ED">
        <w:t>All of</w:t>
      </w:r>
      <w:proofErr w:type="gramEnd"/>
      <w:r w:rsidRPr="006575ED">
        <w:t xml:space="preserve"> your assignment submissions are subject to the </w:t>
      </w:r>
      <w:hyperlink r:id="rId10" w:history="1">
        <w:r w:rsidRPr="006575ED">
          <w:rPr>
            <w:rStyle w:val="Hyperlink"/>
          </w:rPr>
          <w:t>CBS Honor Code</w:t>
        </w:r>
      </w:hyperlink>
      <w:r w:rsidRPr="006575ED">
        <w:t>.</w:t>
      </w:r>
      <w:r w:rsidR="009953D7">
        <w:t xml:space="preserve"> Violations of the CBS Honor Code may lead to failing the assignment, failing the course, suspension, and/or dismissal. </w:t>
      </w:r>
      <w:r w:rsidRPr="006575ED">
        <w:t xml:space="preserve"> </w:t>
      </w:r>
      <w:r w:rsidR="00934BFC" w:rsidRPr="006575ED">
        <w:t xml:space="preserve">In order to avoid ambiguity that may lead to unintentional violations of the Honor Code, </w:t>
      </w:r>
      <w:r w:rsidR="00B07FCF">
        <w:t>assignment</w:t>
      </w:r>
      <w:r w:rsidR="00934BFC" w:rsidRPr="006575ED">
        <w:t xml:space="preserve"> description types have been standardized</w:t>
      </w:r>
      <w:r w:rsidRPr="006575ED">
        <w:t xml:space="preserve"> and </w:t>
      </w:r>
      <w:r w:rsidR="00934BFC" w:rsidRPr="006575ED">
        <w:t>specified below.</w:t>
      </w:r>
      <w:r w:rsidRPr="006575ED">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32"/>
        <w:gridCol w:w="2498"/>
        <w:gridCol w:w="1681"/>
        <w:gridCol w:w="1483"/>
        <w:gridCol w:w="3035"/>
        <w:gridCol w:w="1461"/>
      </w:tblGrid>
      <w:tr w:rsidR="00567FE2" w:rsidRPr="006575ED" w14:paraId="47CD2253" w14:textId="77777777" w:rsidTr="00567FE2">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BCC21"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2CC8E"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Designation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E30C3"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E1862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Preparation of</w:t>
            </w:r>
            <w:r w:rsidRPr="006575ED">
              <w:rPr>
                <w:rFonts w:asciiTheme="minorHAnsi" w:hAnsiTheme="minorHAnsi"/>
                <w:b/>
                <w:bCs/>
                <w:sz w:val="20"/>
                <w:szCs w:val="20"/>
                <w:u w:val="single"/>
              </w:rPr>
              <w:br/>
              <w:t>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E358EF"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Discussion of 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7A47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Discussion of</w:t>
            </w:r>
            <w:r w:rsidRPr="006575ED">
              <w:rPr>
                <w:rFonts w:asciiTheme="minorHAnsi" w:hAnsiTheme="minorHAnsi"/>
                <w:b/>
                <w:bCs/>
                <w:sz w:val="20"/>
                <w:szCs w:val="20"/>
                <w:u w:val="single"/>
              </w:rPr>
              <w:br/>
              <w:t>Concepts**</w:t>
            </w:r>
          </w:p>
        </w:tc>
      </w:tr>
      <w:tr w:rsidR="00567FE2" w:rsidRPr="006575ED" w14:paraId="5EB70C7C"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AB3BA"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BDBDC9"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Group Work</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1826B25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Same grade for all group members</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1F94AA25"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By the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500E8E"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 to discuss (within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B4B3182"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567FE2" w:rsidRPr="006575ED" w14:paraId="05A8539F"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6DD1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w:t>
            </w:r>
            <w:r w:rsidRPr="006575ED">
              <w:rPr>
                <w:rFonts w:asciiTheme="minorHAnsi" w:hAnsiTheme="minorHAnsi"/>
                <w:sz w:val="12"/>
                <w:szCs w:val="12"/>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3CB8B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w/ Discussions of  Concepts and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6F388"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1039AB4F"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p w14:paraId="0F6DB5C4" w14:textId="77777777" w:rsidR="00567FE2" w:rsidRPr="006575ED" w:rsidRDefault="00567FE2"/>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7EE2DF4A"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 to discuss;  sharing solutions or submission files is not allowed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9D17D6"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567FE2" w:rsidRPr="006575ED" w14:paraId="6AAD7B3F"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CBD4D"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w:t>
            </w:r>
            <w:r w:rsidRPr="006575ED">
              <w:rPr>
                <w:rFonts w:asciiTheme="minorHAnsi" w:hAnsiTheme="minorHAnsi"/>
                <w:sz w:val="12"/>
                <w:szCs w:val="12"/>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16F1D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w/  Discussions of  Concepts Only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4887CA"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8E438D"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31C232AB"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 xml:space="preserve">Not permitted to share/discuss solutions or submission </w:t>
            </w:r>
          </w:p>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021E97AD"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567FE2" w:rsidRPr="006575ED" w14:paraId="0D92E176" w14:textId="77777777" w:rsidTr="00567FE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E10F5"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BD552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78A450"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448787"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100044"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Not permitted to share/discuss solutions or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E6E95A" w14:textId="77777777" w:rsidR="00567FE2" w:rsidRPr="006575ED" w:rsidRDefault="00567FE2">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Not permitted***</w:t>
            </w:r>
          </w:p>
        </w:tc>
      </w:tr>
    </w:tbl>
    <w:p w14:paraId="56E03572" w14:textId="77777777" w:rsidR="005A6147" w:rsidRPr="006575ED" w:rsidRDefault="00567FE2" w:rsidP="006575ED">
      <w:pPr>
        <w:spacing w:after="100" w:afterAutospacing="1" w:line="240" w:lineRule="auto"/>
        <w:jc w:val="right"/>
        <w:rPr>
          <w:rFonts w:eastAsia="Times New Roman" w:cs="Times New Roman"/>
          <w:sz w:val="20"/>
          <w:szCs w:val="24"/>
        </w:rPr>
      </w:pPr>
      <w:r w:rsidRPr="006575ED">
        <w:rPr>
          <w:rFonts w:eastAsia="Times New Roman" w:cs="Times New Roman"/>
          <w:sz w:val="20"/>
          <w:szCs w:val="24"/>
        </w:rPr>
        <w:t xml:space="preserve"> </w:t>
      </w:r>
      <w:r w:rsidR="005A6147" w:rsidRPr="006575ED">
        <w:rPr>
          <w:rFonts w:eastAsia="Times New Roman" w:cs="Times New Roman"/>
          <w:sz w:val="20"/>
          <w:szCs w:val="24"/>
        </w:rPr>
        <w:t>* The designated group can be either an assigned study group or a self-selected one.</w:t>
      </w:r>
    </w:p>
    <w:p w14:paraId="726F3E7D" w14:textId="77777777" w:rsidR="006575ED" w:rsidRDefault="006575ED" w:rsidP="006575ED">
      <w:pPr>
        <w:spacing w:after="0"/>
        <w:rPr>
          <w:b/>
        </w:rPr>
      </w:pPr>
    </w:p>
    <w:p w14:paraId="30BD26B7" w14:textId="77777777" w:rsidR="00A857EA" w:rsidRPr="006575ED" w:rsidRDefault="00A857EA" w:rsidP="006575ED">
      <w:pPr>
        <w:spacing w:after="0"/>
        <w:rPr>
          <w:b/>
        </w:rPr>
      </w:pPr>
      <w:r w:rsidRPr="006575ED">
        <w:rPr>
          <w:b/>
        </w:rPr>
        <w:t>ATTENDANCE POLICY</w:t>
      </w:r>
    </w:p>
    <w:p w14:paraId="63830422" w14:textId="77777777" w:rsidR="00E45B3A" w:rsidRDefault="00A857EA" w:rsidP="006575ED">
      <w:pPr>
        <w:spacing w:after="0"/>
      </w:pPr>
      <w:r w:rsidRPr="006575ED">
        <w:t>Students are required to attend each class. Unexcused absences will affect your course grade</w:t>
      </w:r>
      <w:r w:rsidR="00E45B3A">
        <w:t>.</w:t>
      </w:r>
    </w:p>
    <w:p w14:paraId="34427B65" w14:textId="77777777" w:rsidR="009E1483" w:rsidRDefault="009E1483" w:rsidP="006575ED">
      <w:pPr>
        <w:spacing w:after="0"/>
      </w:pPr>
    </w:p>
    <w:p w14:paraId="7584B2DF" w14:textId="77777777" w:rsidR="00356329" w:rsidRDefault="00356329" w:rsidP="006575ED">
      <w:pPr>
        <w:spacing w:after="0"/>
      </w:pPr>
    </w:p>
    <w:p w14:paraId="7ECF0567" w14:textId="77777777" w:rsidR="006575ED" w:rsidRPr="006575ED" w:rsidRDefault="006575ED" w:rsidP="006575ED">
      <w:pPr>
        <w:spacing w:after="0"/>
        <w:rPr>
          <w:b/>
        </w:rPr>
      </w:pPr>
      <w:r w:rsidRPr="006575ED">
        <w:rPr>
          <w:b/>
        </w:rPr>
        <w:t xml:space="preserve">INCLUSION, ACCOMMODATIONS, AND SUPPORT FOR STUDENTS </w:t>
      </w:r>
    </w:p>
    <w:p w14:paraId="670F2BF0" w14:textId="77777777" w:rsidR="006575ED" w:rsidRPr="006575ED" w:rsidRDefault="006575ED" w:rsidP="006575ED">
      <w:r w:rsidRPr="006575ED">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14:paraId="4C158934" w14:textId="77777777" w:rsidR="006575ED" w:rsidRPr="006575ED" w:rsidRDefault="006575ED" w:rsidP="006575ED">
      <w:r w:rsidRPr="006575ED">
        <w:lastRenderedPageBreak/>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1" w:history="1">
        <w:r w:rsidRPr="006575ED">
          <w:rPr>
            <w:rStyle w:val="Hyperlink"/>
          </w:rPr>
          <w:t>www.health.columbia.edu/docs/services/ods/index.html</w:t>
        </w:r>
      </w:hyperlink>
      <w:r w:rsidRPr="006575ED">
        <w:t xml:space="preserve"> or by contacting (212) 854-2388.</w:t>
      </w:r>
    </w:p>
    <w:p w14:paraId="713D62C2" w14:textId="77777777" w:rsidR="006575ED" w:rsidRPr="006575ED" w:rsidRDefault="006575ED" w:rsidP="006575ED">
      <w:pPr>
        <w:spacing w:after="0"/>
      </w:pPr>
      <w:r w:rsidRPr="006575ED">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w:t>
      </w:r>
      <w:hyperlink r:id="rId12" w:history="1">
        <w:r w:rsidRPr="006575ED">
          <w:rPr>
            <w:rStyle w:val="Hyperlink"/>
          </w:rPr>
          <w:t>http://sexualrespect.columbia.edu/gender-based-misconduct-policy-students</w:t>
        </w:r>
      </w:hyperlink>
      <w:r w:rsidRPr="006575ED">
        <w:t>.</w:t>
      </w:r>
    </w:p>
    <w:p w14:paraId="5B02A8A2" w14:textId="77777777" w:rsidR="006575ED" w:rsidRPr="006575ED" w:rsidRDefault="006575ED" w:rsidP="006575ED"/>
    <w:p w14:paraId="100C27F2" w14:textId="77777777" w:rsidR="006575ED" w:rsidRPr="006575ED" w:rsidRDefault="006575ED" w:rsidP="001B0143">
      <w:pPr>
        <w:pStyle w:val="ListParagraph"/>
        <w:spacing w:line="240" w:lineRule="auto"/>
      </w:pPr>
    </w:p>
    <w:sectPr w:rsidR="006575ED" w:rsidRPr="006575ED"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5578" w14:textId="77777777" w:rsidR="009E16E7" w:rsidRDefault="009E16E7" w:rsidP="00934BFC">
      <w:pPr>
        <w:spacing w:after="0" w:line="240" w:lineRule="auto"/>
      </w:pPr>
      <w:r>
        <w:separator/>
      </w:r>
    </w:p>
  </w:endnote>
  <w:endnote w:type="continuationSeparator" w:id="0">
    <w:p w14:paraId="487A7601" w14:textId="77777777" w:rsidR="009E16E7" w:rsidRDefault="009E16E7" w:rsidP="00934BFC">
      <w:pPr>
        <w:spacing w:after="0" w:line="240" w:lineRule="auto"/>
      </w:pPr>
      <w:r>
        <w:continuationSeparator/>
      </w:r>
    </w:p>
  </w:endnote>
  <w:endnote w:type="continuationNotice" w:id="1">
    <w:p w14:paraId="39E6CD7C" w14:textId="77777777" w:rsidR="009E16E7" w:rsidRDefault="009E1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AF93" w14:textId="77777777" w:rsidR="00BC01D0" w:rsidRPr="006575ED" w:rsidRDefault="00BC01D0" w:rsidP="006575ED">
    <w:pPr>
      <w:pStyle w:val="Footer"/>
      <w:tabs>
        <w:tab w:val="clear" w:pos="9360"/>
        <w:tab w:val="right" w:pos="10800"/>
      </w:tabs>
      <w:rPr>
        <w:sz w:val="20"/>
      </w:rPr>
    </w:pPr>
    <w:r>
      <w:tab/>
    </w:r>
    <w:r>
      <w:tab/>
    </w:r>
    <w:r w:rsidRPr="006575ED">
      <w:rPr>
        <w:sz w:val="20"/>
      </w:rPr>
      <w:t xml:space="preserve">Page </w:t>
    </w:r>
    <w:r w:rsidRPr="006575ED">
      <w:rPr>
        <w:b/>
        <w:sz w:val="20"/>
      </w:rPr>
      <w:fldChar w:fldCharType="begin"/>
    </w:r>
    <w:r w:rsidRPr="006575ED">
      <w:rPr>
        <w:b/>
        <w:sz w:val="20"/>
      </w:rPr>
      <w:instrText xml:space="preserve"> PAGE  \* Arabic  \* MERGEFORMAT </w:instrText>
    </w:r>
    <w:r w:rsidRPr="006575ED">
      <w:rPr>
        <w:b/>
        <w:sz w:val="20"/>
      </w:rPr>
      <w:fldChar w:fldCharType="separate"/>
    </w:r>
    <w:r w:rsidR="00AE5A87">
      <w:rPr>
        <w:b/>
        <w:noProof/>
        <w:sz w:val="20"/>
      </w:rPr>
      <w:t>1</w:t>
    </w:r>
    <w:r w:rsidRPr="006575ED">
      <w:rPr>
        <w:b/>
        <w:sz w:val="20"/>
      </w:rPr>
      <w:fldChar w:fldCharType="end"/>
    </w:r>
    <w:r w:rsidRPr="006575ED">
      <w:rPr>
        <w:sz w:val="20"/>
      </w:rPr>
      <w:t xml:space="preserve"> of </w:t>
    </w:r>
    <w:r w:rsidRPr="006575ED">
      <w:rPr>
        <w:b/>
        <w:sz w:val="20"/>
      </w:rPr>
      <w:fldChar w:fldCharType="begin"/>
    </w:r>
    <w:r w:rsidRPr="006575ED">
      <w:rPr>
        <w:b/>
        <w:sz w:val="20"/>
      </w:rPr>
      <w:instrText xml:space="preserve"> NUMPAGES  \* Arabic  \* MERGEFORMAT </w:instrText>
    </w:r>
    <w:r w:rsidRPr="006575ED">
      <w:rPr>
        <w:b/>
        <w:sz w:val="20"/>
      </w:rPr>
      <w:fldChar w:fldCharType="separate"/>
    </w:r>
    <w:r w:rsidR="00AE5A87">
      <w:rPr>
        <w:b/>
        <w:noProof/>
        <w:sz w:val="20"/>
      </w:rPr>
      <w:t>6</w:t>
    </w:r>
    <w:r w:rsidRPr="006575E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6514" w14:textId="77777777" w:rsidR="009E16E7" w:rsidRDefault="009E16E7" w:rsidP="00934BFC">
      <w:pPr>
        <w:spacing w:after="0" w:line="240" w:lineRule="auto"/>
      </w:pPr>
      <w:r>
        <w:separator/>
      </w:r>
    </w:p>
  </w:footnote>
  <w:footnote w:type="continuationSeparator" w:id="0">
    <w:p w14:paraId="69B7A020" w14:textId="77777777" w:rsidR="009E16E7" w:rsidRDefault="009E16E7" w:rsidP="00934BFC">
      <w:pPr>
        <w:spacing w:after="0" w:line="240" w:lineRule="auto"/>
      </w:pPr>
      <w:r>
        <w:continuationSeparator/>
      </w:r>
    </w:p>
  </w:footnote>
  <w:footnote w:type="continuationNotice" w:id="1">
    <w:p w14:paraId="0457751E" w14:textId="77777777" w:rsidR="009E16E7" w:rsidRDefault="009E1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D733" w14:textId="77777777" w:rsidR="00BC01D0" w:rsidRDefault="00BC01D0" w:rsidP="00573C56">
    <w:pPr>
      <w:pStyle w:val="Header"/>
      <w:jc w:val="both"/>
    </w:pPr>
    <w:r>
      <w:rPr>
        <w:noProof/>
      </w:rPr>
      <w:ptab w:relativeTo="margin" w:alignment="left" w:leader="none"/>
    </w:r>
    <w:r>
      <w:rPr>
        <w:noProof/>
      </w:rPr>
      <w:drawing>
        <wp:inline distT="0" distB="0" distL="0" distR="0" wp14:anchorId="5AC359EF" wp14:editId="135E1399">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3E2"/>
    <w:multiLevelType w:val="multilevel"/>
    <w:tmpl w:val="689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3569D6"/>
    <w:multiLevelType w:val="hybridMultilevel"/>
    <w:tmpl w:val="64CC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91272"/>
    <w:multiLevelType w:val="multilevel"/>
    <w:tmpl w:val="A886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770A8"/>
    <w:multiLevelType w:val="hybridMultilevel"/>
    <w:tmpl w:val="5D2A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7417C4"/>
    <w:multiLevelType w:val="hybridMultilevel"/>
    <w:tmpl w:val="C1A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D1A2C"/>
    <w:multiLevelType w:val="hybridMultilevel"/>
    <w:tmpl w:val="B9D6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670501">
    <w:abstractNumId w:val="3"/>
  </w:num>
  <w:num w:numId="2" w16cid:durableId="947394193">
    <w:abstractNumId w:val="1"/>
  </w:num>
  <w:num w:numId="3" w16cid:durableId="2079208157">
    <w:abstractNumId w:val="2"/>
  </w:num>
  <w:num w:numId="4" w16cid:durableId="2050034435">
    <w:abstractNumId w:val="9"/>
  </w:num>
  <w:num w:numId="5" w16cid:durableId="547494536">
    <w:abstractNumId w:val="6"/>
  </w:num>
  <w:num w:numId="6" w16cid:durableId="252472757">
    <w:abstractNumId w:val="10"/>
  </w:num>
  <w:num w:numId="7" w16cid:durableId="754666020">
    <w:abstractNumId w:val="8"/>
  </w:num>
  <w:num w:numId="8" w16cid:durableId="1078137125">
    <w:abstractNumId w:val="5"/>
  </w:num>
  <w:num w:numId="9" w16cid:durableId="1062824315">
    <w:abstractNumId w:val="4"/>
  </w:num>
  <w:num w:numId="10" w16cid:durableId="988552947">
    <w:abstractNumId w:val="11"/>
  </w:num>
  <w:num w:numId="11" w16cid:durableId="1005279572">
    <w:abstractNumId w:val="7"/>
  </w:num>
  <w:num w:numId="12" w16cid:durableId="1061250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FC"/>
    <w:rsid w:val="0001059F"/>
    <w:rsid w:val="00022103"/>
    <w:rsid w:val="00045305"/>
    <w:rsid w:val="0007244C"/>
    <w:rsid w:val="00073480"/>
    <w:rsid w:val="00073FE6"/>
    <w:rsid w:val="00081A5D"/>
    <w:rsid w:val="00094D70"/>
    <w:rsid w:val="000B60C0"/>
    <w:rsid w:val="000C7AB1"/>
    <w:rsid w:val="000D319A"/>
    <w:rsid w:val="000D3E39"/>
    <w:rsid w:val="001036B6"/>
    <w:rsid w:val="00103857"/>
    <w:rsid w:val="00115A1E"/>
    <w:rsid w:val="00126255"/>
    <w:rsid w:val="00132ADF"/>
    <w:rsid w:val="00133FE8"/>
    <w:rsid w:val="00136264"/>
    <w:rsid w:val="00150841"/>
    <w:rsid w:val="001647AB"/>
    <w:rsid w:val="00193D58"/>
    <w:rsid w:val="00194FB4"/>
    <w:rsid w:val="001A051D"/>
    <w:rsid w:val="001A5A55"/>
    <w:rsid w:val="001B0143"/>
    <w:rsid w:val="001D55F6"/>
    <w:rsid w:val="00203C41"/>
    <w:rsid w:val="00247438"/>
    <w:rsid w:val="002626F5"/>
    <w:rsid w:val="002861A7"/>
    <w:rsid w:val="002922D4"/>
    <w:rsid w:val="002A12FD"/>
    <w:rsid w:val="002A73D1"/>
    <w:rsid w:val="002B494A"/>
    <w:rsid w:val="002B55F3"/>
    <w:rsid w:val="002C0006"/>
    <w:rsid w:val="002C1C2C"/>
    <w:rsid w:val="002C3D0C"/>
    <w:rsid w:val="002E6AA0"/>
    <w:rsid w:val="002F07BC"/>
    <w:rsid w:val="002F1AC2"/>
    <w:rsid w:val="002F5244"/>
    <w:rsid w:val="002F54E1"/>
    <w:rsid w:val="00301756"/>
    <w:rsid w:val="0032170B"/>
    <w:rsid w:val="0032421D"/>
    <w:rsid w:val="00347D66"/>
    <w:rsid w:val="00356329"/>
    <w:rsid w:val="003704E2"/>
    <w:rsid w:val="003D4622"/>
    <w:rsid w:val="003E5E87"/>
    <w:rsid w:val="003E62EC"/>
    <w:rsid w:val="00435D3B"/>
    <w:rsid w:val="00443BE1"/>
    <w:rsid w:val="004456A9"/>
    <w:rsid w:val="004B5958"/>
    <w:rsid w:val="004C6217"/>
    <w:rsid w:val="004F5D67"/>
    <w:rsid w:val="00533454"/>
    <w:rsid w:val="005358A6"/>
    <w:rsid w:val="00535B68"/>
    <w:rsid w:val="00535F4E"/>
    <w:rsid w:val="00545871"/>
    <w:rsid w:val="005505AF"/>
    <w:rsid w:val="00555A73"/>
    <w:rsid w:val="00567FE2"/>
    <w:rsid w:val="00573C56"/>
    <w:rsid w:val="005826C4"/>
    <w:rsid w:val="00597A75"/>
    <w:rsid w:val="005A6147"/>
    <w:rsid w:val="005D5245"/>
    <w:rsid w:val="005F00AB"/>
    <w:rsid w:val="00607AEE"/>
    <w:rsid w:val="00613EF9"/>
    <w:rsid w:val="00617F00"/>
    <w:rsid w:val="00622AAD"/>
    <w:rsid w:val="00632CE8"/>
    <w:rsid w:val="0063470C"/>
    <w:rsid w:val="0063563F"/>
    <w:rsid w:val="00641E42"/>
    <w:rsid w:val="00656C40"/>
    <w:rsid w:val="006575ED"/>
    <w:rsid w:val="0067146A"/>
    <w:rsid w:val="00674572"/>
    <w:rsid w:val="006754BB"/>
    <w:rsid w:val="00676C72"/>
    <w:rsid w:val="006A1D89"/>
    <w:rsid w:val="006F04C3"/>
    <w:rsid w:val="006F0FD7"/>
    <w:rsid w:val="007015A9"/>
    <w:rsid w:val="00707FC4"/>
    <w:rsid w:val="00713853"/>
    <w:rsid w:val="0071720B"/>
    <w:rsid w:val="00730256"/>
    <w:rsid w:val="00750DC3"/>
    <w:rsid w:val="00764CBD"/>
    <w:rsid w:val="0078176D"/>
    <w:rsid w:val="00785098"/>
    <w:rsid w:val="007E011A"/>
    <w:rsid w:val="007E4C7A"/>
    <w:rsid w:val="00803241"/>
    <w:rsid w:val="0080503A"/>
    <w:rsid w:val="00824EBE"/>
    <w:rsid w:val="0083190A"/>
    <w:rsid w:val="00850441"/>
    <w:rsid w:val="00873DF7"/>
    <w:rsid w:val="0089754B"/>
    <w:rsid w:val="008B5CB9"/>
    <w:rsid w:val="008C2070"/>
    <w:rsid w:val="008D375B"/>
    <w:rsid w:val="008E16C4"/>
    <w:rsid w:val="008E7B79"/>
    <w:rsid w:val="008F628A"/>
    <w:rsid w:val="009041DF"/>
    <w:rsid w:val="009073C8"/>
    <w:rsid w:val="00933E67"/>
    <w:rsid w:val="00934BFC"/>
    <w:rsid w:val="0095683D"/>
    <w:rsid w:val="00975F85"/>
    <w:rsid w:val="009820C7"/>
    <w:rsid w:val="00987736"/>
    <w:rsid w:val="009953D7"/>
    <w:rsid w:val="009A2F7B"/>
    <w:rsid w:val="009E1483"/>
    <w:rsid w:val="009E16E7"/>
    <w:rsid w:val="009E4959"/>
    <w:rsid w:val="009E5223"/>
    <w:rsid w:val="009E733F"/>
    <w:rsid w:val="009F1925"/>
    <w:rsid w:val="00A00BBD"/>
    <w:rsid w:val="00A13276"/>
    <w:rsid w:val="00A31DF0"/>
    <w:rsid w:val="00A46929"/>
    <w:rsid w:val="00A504B1"/>
    <w:rsid w:val="00A55566"/>
    <w:rsid w:val="00A636EF"/>
    <w:rsid w:val="00A857EA"/>
    <w:rsid w:val="00A90039"/>
    <w:rsid w:val="00AB676B"/>
    <w:rsid w:val="00AD4EF8"/>
    <w:rsid w:val="00AD7C37"/>
    <w:rsid w:val="00AE5A87"/>
    <w:rsid w:val="00AF0275"/>
    <w:rsid w:val="00AF6E46"/>
    <w:rsid w:val="00B07FCF"/>
    <w:rsid w:val="00B1334E"/>
    <w:rsid w:val="00B15BBC"/>
    <w:rsid w:val="00B31CAB"/>
    <w:rsid w:val="00B421A0"/>
    <w:rsid w:val="00B501EE"/>
    <w:rsid w:val="00B503A3"/>
    <w:rsid w:val="00B92745"/>
    <w:rsid w:val="00B927B9"/>
    <w:rsid w:val="00B96B85"/>
    <w:rsid w:val="00BA241D"/>
    <w:rsid w:val="00BA37C1"/>
    <w:rsid w:val="00BC01D0"/>
    <w:rsid w:val="00BD0EBE"/>
    <w:rsid w:val="00BD504D"/>
    <w:rsid w:val="00C10D1D"/>
    <w:rsid w:val="00C1780B"/>
    <w:rsid w:val="00C22A7C"/>
    <w:rsid w:val="00C31309"/>
    <w:rsid w:val="00C314DA"/>
    <w:rsid w:val="00C33F50"/>
    <w:rsid w:val="00C61DFB"/>
    <w:rsid w:val="00C72213"/>
    <w:rsid w:val="00C72361"/>
    <w:rsid w:val="00C841B1"/>
    <w:rsid w:val="00C8484D"/>
    <w:rsid w:val="00C84CD2"/>
    <w:rsid w:val="00C84DE7"/>
    <w:rsid w:val="00CA745F"/>
    <w:rsid w:val="00CC4750"/>
    <w:rsid w:val="00CE01E4"/>
    <w:rsid w:val="00CF656C"/>
    <w:rsid w:val="00D0212A"/>
    <w:rsid w:val="00D15780"/>
    <w:rsid w:val="00D20B6E"/>
    <w:rsid w:val="00D33F9E"/>
    <w:rsid w:val="00D55694"/>
    <w:rsid w:val="00D676A4"/>
    <w:rsid w:val="00D676DD"/>
    <w:rsid w:val="00D75903"/>
    <w:rsid w:val="00D92319"/>
    <w:rsid w:val="00D93D8F"/>
    <w:rsid w:val="00D940AA"/>
    <w:rsid w:val="00D9508B"/>
    <w:rsid w:val="00DB507F"/>
    <w:rsid w:val="00DC1E1B"/>
    <w:rsid w:val="00DD55A9"/>
    <w:rsid w:val="00DE3934"/>
    <w:rsid w:val="00DF407A"/>
    <w:rsid w:val="00DF6A6C"/>
    <w:rsid w:val="00DF7415"/>
    <w:rsid w:val="00E2230B"/>
    <w:rsid w:val="00E23F7E"/>
    <w:rsid w:val="00E25CF4"/>
    <w:rsid w:val="00E3640A"/>
    <w:rsid w:val="00E45B3A"/>
    <w:rsid w:val="00E46008"/>
    <w:rsid w:val="00E5324C"/>
    <w:rsid w:val="00E54A2F"/>
    <w:rsid w:val="00E602E3"/>
    <w:rsid w:val="00E60CA6"/>
    <w:rsid w:val="00E965A1"/>
    <w:rsid w:val="00EB346D"/>
    <w:rsid w:val="00EC3C58"/>
    <w:rsid w:val="00ED771B"/>
    <w:rsid w:val="00EF1E9C"/>
    <w:rsid w:val="00F06E42"/>
    <w:rsid w:val="00F27C4B"/>
    <w:rsid w:val="00F57C4A"/>
    <w:rsid w:val="00F76A35"/>
    <w:rsid w:val="00F81E0F"/>
    <w:rsid w:val="00F81EE1"/>
    <w:rsid w:val="00F85C17"/>
    <w:rsid w:val="00F85D89"/>
    <w:rsid w:val="00F93A4A"/>
    <w:rsid w:val="00FC411F"/>
    <w:rsid w:val="00FD02F9"/>
    <w:rsid w:val="00FD1967"/>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62D245"/>
  <w15:docId w15:val="{3F5C53E9-ADC1-CC40-8D96-5A1B8D4C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3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styleId="NoSpacing">
    <w:name w:val="No Spacing"/>
    <w:basedOn w:val="Normal"/>
    <w:uiPriority w:val="1"/>
    <w:qFormat/>
    <w:rsid w:val="00A857EA"/>
    <w:pPr>
      <w:spacing w:after="0" w:line="240" w:lineRule="auto"/>
    </w:pPr>
    <w:rPr>
      <w:rFonts w:ascii="Calibri" w:hAnsi="Calibri" w:cs="Times New Roman"/>
    </w:rPr>
  </w:style>
  <w:style w:type="paragraph" w:styleId="NormalWeb">
    <w:name w:val="Normal (Web)"/>
    <w:basedOn w:val="Normal"/>
    <w:uiPriority w:val="99"/>
    <w:unhideWhenUsed/>
    <w:rsid w:val="00567F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3FE8"/>
    <w:rPr>
      <w:sz w:val="18"/>
      <w:szCs w:val="18"/>
    </w:rPr>
  </w:style>
  <w:style w:type="paragraph" w:styleId="CommentText">
    <w:name w:val="annotation text"/>
    <w:basedOn w:val="Normal"/>
    <w:link w:val="CommentTextChar"/>
    <w:uiPriority w:val="99"/>
    <w:semiHidden/>
    <w:unhideWhenUsed/>
    <w:rsid w:val="00133FE8"/>
    <w:pPr>
      <w:spacing w:line="240" w:lineRule="auto"/>
    </w:pPr>
    <w:rPr>
      <w:sz w:val="24"/>
      <w:szCs w:val="24"/>
    </w:rPr>
  </w:style>
  <w:style w:type="character" w:customStyle="1" w:styleId="CommentTextChar">
    <w:name w:val="Comment Text Char"/>
    <w:basedOn w:val="DefaultParagraphFont"/>
    <w:link w:val="CommentText"/>
    <w:uiPriority w:val="99"/>
    <w:semiHidden/>
    <w:rsid w:val="00133FE8"/>
    <w:rPr>
      <w:sz w:val="24"/>
      <w:szCs w:val="24"/>
    </w:rPr>
  </w:style>
  <w:style w:type="paragraph" w:styleId="CommentSubject">
    <w:name w:val="annotation subject"/>
    <w:basedOn w:val="CommentText"/>
    <w:next w:val="CommentText"/>
    <w:link w:val="CommentSubjectChar"/>
    <w:uiPriority w:val="99"/>
    <w:semiHidden/>
    <w:unhideWhenUsed/>
    <w:rsid w:val="00133FE8"/>
    <w:rPr>
      <w:b/>
      <w:bCs/>
      <w:sz w:val="20"/>
      <w:szCs w:val="20"/>
    </w:rPr>
  </w:style>
  <w:style w:type="character" w:customStyle="1" w:styleId="CommentSubjectChar">
    <w:name w:val="Comment Subject Char"/>
    <w:basedOn w:val="CommentTextChar"/>
    <w:link w:val="CommentSubject"/>
    <w:uiPriority w:val="99"/>
    <w:semiHidden/>
    <w:rsid w:val="00133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6605812">
      <w:bodyDiv w:val="1"/>
      <w:marLeft w:val="0"/>
      <w:marRight w:val="0"/>
      <w:marTop w:val="0"/>
      <w:marBottom w:val="0"/>
      <w:divBdr>
        <w:top w:val="none" w:sz="0" w:space="0" w:color="auto"/>
        <w:left w:val="none" w:sz="0" w:space="0" w:color="auto"/>
        <w:bottom w:val="none" w:sz="0" w:space="0" w:color="auto"/>
        <w:right w:val="none" w:sz="0" w:space="0" w:color="auto"/>
      </w:divBdr>
      <w:divsChild>
        <w:div w:id="726027396">
          <w:marLeft w:val="-430"/>
          <w:marRight w:val="0"/>
          <w:marTop w:val="0"/>
          <w:marBottom w:val="0"/>
          <w:divBdr>
            <w:top w:val="none" w:sz="0" w:space="0" w:color="auto"/>
            <w:left w:val="none" w:sz="0" w:space="0" w:color="auto"/>
            <w:bottom w:val="none" w:sz="0" w:space="0" w:color="auto"/>
            <w:right w:val="none" w:sz="0" w:space="0" w:color="auto"/>
          </w:divBdr>
        </w:div>
      </w:divsChild>
    </w:div>
    <w:div w:id="258413055">
      <w:bodyDiv w:val="1"/>
      <w:marLeft w:val="0"/>
      <w:marRight w:val="0"/>
      <w:marTop w:val="0"/>
      <w:marBottom w:val="0"/>
      <w:divBdr>
        <w:top w:val="none" w:sz="0" w:space="0" w:color="auto"/>
        <w:left w:val="none" w:sz="0" w:space="0" w:color="auto"/>
        <w:bottom w:val="none" w:sz="0" w:space="0" w:color="auto"/>
        <w:right w:val="none" w:sz="0" w:space="0" w:color="auto"/>
      </w:divBdr>
    </w:div>
    <w:div w:id="278999407">
      <w:bodyDiv w:val="1"/>
      <w:marLeft w:val="0"/>
      <w:marRight w:val="0"/>
      <w:marTop w:val="0"/>
      <w:marBottom w:val="0"/>
      <w:divBdr>
        <w:top w:val="none" w:sz="0" w:space="0" w:color="auto"/>
        <w:left w:val="none" w:sz="0" w:space="0" w:color="auto"/>
        <w:bottom w:val="none" w:sz="0" w:space="0" w:color="auto"/>
        <w:right w:val="none" w:sz="0" w:space="0" w:color="auto"/>
      </w:divBdr>
      <w:divsChild>
        <w:div w:id="1144546561">
          <w:marLeft w:val="0"/>
          <w:marRight w:val="0"/>
          <w:marTop w:val="0"/>
          <w:marBottom w:val="0"/>
          <w:divBdr>
            <w:top w:val="none" w:sz="0" w:space="0" w:color="auto"/>
            <w:left w:val="none" w:sz="0" w:space="0" w:color="auto"/>
            <w:bottom w:val="none" w:sz="0" w:space="0" w:color="auto"/>
            <w:right w:val="none" w:sz="0" w:space="0" w:color="auto"/>
          </w:divBdr>
          <w:divsChild>
            <w:div w:id="1331444538">
              <w:marLeft w:val="0"/>
              <w:marRight w:val="0"/>
              <w:marTop w:val="0"/>
              <w:marBottom w:val="0"/>
              <w:divBdr>
                <w:top w:val="none" w:sz="0" w:space="0" w:color="auto"/>
                <w:left w:val="none" w:sz="0" w:space="0" w:color="auto"/>
                <w:bottom w:val="none" w:sz="0" w:space="0" w:color="auto"/>
                <w:right w:val="none" w:sz="0" w:space="0" w:color="auto"/>
              </w:divBdr>
              <w:divsChild>
                <w:div w:id="1344017268">
                  <w:marLeft w:val="0"/>
                  <w:marRight w:val="0"/>
                  <w:marTop w:val="0"/>
                  <w:marBottom w:val="0"/>
                  <w:divBdr>
                    <w:top w:val="none" w:sz="0" w:space="0" w:color="auto"/>
                    <w:left w:val="none" w:sz="0" w:space="0" w:color="auto"/>
                    <w:bottom w:val="none" w:sz="0" w:space="0" w:color="auto"/>
                    <w:right w:val="none" w:sz="0" w:space="0" w:color="auto"/>
                  </w:divBdr>
                  <w:divsChild>
                    <w:div w:id="4242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1164">
      <w:bodyDiv w:val="1"/>
      <w:marLeft w:val="0"/>
      <w:marRight w:val="0"/>
      <w:marTop w:val="0"/>
      <w:marBottom w:val="0"/>
      <w:divBdr>
        <w:top w:val="none" w:sz="0" w:space="0" w:color="auto"/>
        <w:left w:val="none" w:sz="0" w:space="0" w:color="auto"/>
        <w:bottom w:val="none" w:sz="0" w:space="0" w:color="auto"/>
        <w:right w:val="none" w:sz="0" w:space="0" w:color="auto"/>
      </w:divBdr>
      <w:divsChild>
        <w:div w:id="673069237">
          <w:marLeft w:val="0"/>
          <w:marRight w:val="0"/>
          <w:marTop w:val="0"/>
          <w:marBottom w:val="0"/>
          <w:divBdr>
            <w:top w:val="none" w:sz="0" w:space="0" w:color="auto"/>
            <w:left w:val="none" w:sz="0" w:space="0" w:color="auto"/>
            <w:bottom w:val="none" w:sz="0" w:space="0" w:color="auto"/>
            <w:right w:val="none" w:sz="0" w:space="0" w:color="auto"/>
          </w:divBdr>
          <w:divsChild>
            <w:div w:id="757337203">
              <w:marLeft w:val="0"/>
              <w:marRight w:val="0"/>
              <w:marTop w:val="0"/>
              <w:marBottom w:val="0"/>
              <w:divBdr>
                <w:top w:val="none" w:sz="0" w:space="0" w:color="auto"/>
                <w:left w:val="none" w:sz="0" w:space="0" w:color="auto"/>
                <w:bottom w:val="none" w:sz="0" w:space="0" w:color="auto"/>
                <w:right w:val="none" w:sz="0" w:space="0" w:color="auto"/>
              </w:divBdr>
              <w:divsChild>
                <w:div w:id="1910312105">
                  <w:marLeft w:val="0"/>
                  <w:marRight w:val="0"/>
                  <w:marTop w:val="0"/>
                  <w:marBottom w:val="0"/>
                  <w:divBdr>
                    <w:top w:val="none" w:sz="0" w:space="0" w:color="auto"/>
                    <w:left w:val="none" w:sz="0" w:space="0" w:color="auto"/>
                    <w:bottom w:val="none" w:sz="0" w:space="0" w:color="auto"/>
                    <w:right w:val="none" w:sz="0" w:space="0" w:color="auto"/>
                  </w:divBdr>
                  <w:divsChild>
                    <w:div w:id="407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5773">
      <w:bodyDiv w:val="1"/>
      <w:marLeft w:val="0"/>
      <w:marRight w:val="0"/>
      <w:marTop w:val="0"/>
      <w:marBottom w:val="0"/>
      <w:divBdr>
        <w:top w:val="none" w:sz="0" w:space="0" w:color="auto"/>
        <w:left w:val="none" w:sz="0" w:space="0" w:color="auto"/>
        <w:bottom w:val="none" w:sz="0" w:space="0" w:color="auto"/>
        <w:right w:val="none" w:sz="0" w:space="0" w:color="auto"/>
      </w:divBdr>
    </w:div>
    <w:div w:id="1212035751">
      <w:bodyDiv w:val="1"/>
      <w:marLeft w:val="0"/>
      <w:marRight w:val="0"/>
      <w:marTop w:val="0"/>
      <w:marBottom w:val="0"/>
      <w:divBdr>
        <w:top w:val="none" w:sz="0" w:space="0" w:color="auto"/>
        <w:left w:val="none" w:sz="0" w:space="0" w:color="auto"/>
        <w:bottom w:val="none" w:sz="0" w:space="0" w:color="auto"/>
        <w:right w:val="none" w:sz="0" w:space="0" w:color="auto"/>
      </w:divBdr>
    </w:div>
    <w:div w:id="1578709865">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ualrespect.columbia.edu/gender-based-misconduct-policy-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olumbia.edu/docs/services/ods/index.html" TargetMode="External"/><Relationship Id="rId5" Type="http://schemas.openxmlformats.org/officeDocument/2006/relationships/webSettings" Target="webSettings.xml"/><Relationship Id="rId10" Type="http://schemas.openxmlformats.org/officeDocument/2006/relationships/hyperlink" Target="http://www8.gsb.columbia.edu/honor/defini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300A-8A94-2F4F-9065-6F5D3639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Alex Zachary</cp:lastModifiedBy>
  <cp:revision>2</cp:revision>
  <cp:lastPrinted>2020-01-20T22:10:00Z</cp:lastPrinted>
  <dcterms:created xsi:type="dcterms:W3CDTF">2022-10-13T18:56:00Z</dcterms:created>
  <dcterms:modified xsi:type="dcterms:W3CDTF">2022-10-13T18:56:00Z</dcterms:modified>
</cp:coreProperties>
</file>