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9CE8" w14:textId="4BCE12B2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Last updated: 1</w:t>
      </w:r>
      <w:r w:rsidR="00EA14BB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/</w:t>
      </w:r>
      <w:r w:rsidR="00AE4C27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/2022</w:t>
      </w:r>
    </w:p>
    <w:p w14:paraId="011C3080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65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000065"/>
          <w:sz w:val="48"/>
          <w:szCs w:val="48"/>
        </w:rPr>
        <w:t>Columbia Business School</w:t>
      </w:r>
    </w:p>
    <w:p w14:paraId="2DD32B9C" w14:textId="5B16B909" w:rsidR="00614238" w:rsidRDefault="00614238" w:rsidP="00EA1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  <w:t>Global Immersion: Economic Growth</w:t>
      </w:r>
      <w:r w:rsidR="00EA14BB"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  <w:t xml:space="preserve">, Business Dynamism, and Global Relevance of </w:t>
      </w:r>
      <w:r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  <w:t>the United Arab</w:t>
      </w:r>
      <w:r w:rsidR="00EA14BB"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  <w:t>Emirates</w:t>
      </w:r>
    </w:p>
    <w:p w14:paraId="193CCC5D" w14:textId="6111BF7C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  <w:t>Spring 202</w:t>
      </w:r>
      <w:r w:rsidR="00EA14BB">
        <w:rPr>
          <w:rFonts w:ascii="TimesNewRomanPS-BoldMT" w:hAnsi="TimesNewRomanPS-BoldMT" w:cs="TimesNewRomanPS-BoldMT"/>
          <w:b/>
          <w:bCs/>
          <w:color w:val="000065"/>
          <w:sz w:val="36"/>
          <w:szCs w:val="36"/>
        </w:rPr>
        <w:t>3</w:t>
      </w:r>
    </w:p>
    <w:p w14:paraId="4C78CEF5" w14:textId="473D4E33" w:rsidR="00614238" w:rsidRDefault="00EA14BB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565FF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6565FF"/>
          <w:sz w:val="27"/>
          <w:szCs w:val="27"/>
        </w:rPr>
        <w:t xml:space="preserve">Aamir A. Rehman – </w:t>
      </w:r>
      <w:hyperlink r:id="rId8" w:history="1">
        <w:r w:rsidRPr="007A6173">
          <w:rPr>
            <w:rStyle w:val="Hyperlink"/>
            <w:rFonts w:ascii="TimesNewRomanPS-BoldMT" w:hAnsi="TimesNewRomanPS-BoldMT" w:cs="TimesNewRomanPS-BoldMT"/>
            <w:b/>
            <w:bCs/>
            <w:sz w:val="27"/>
            <w:szCs w:val="27"/>
          </w:rPr>
          <w:t>aar2179@columbia.edu</w:t>
        </w:r>
      </w:hyperlink>
      <w:r>
        <w:rPr>
          <w:rFonts w:ascii="TimesNewRomanPS-BoldMT" w:hAnsi="TimesNewRomanPS-BoldMT" w:cs="TimesNewRomanPS-BoldMT"/>
          <w:b/>
          <w:bCs/>
          <w:color w:val="6565FF"/>
          <w:sz w:val="27"/>
          <w:szCs w:val="27"/>
        </w:rPr>
        <w:t xml:space="preserve"> </w:t>
      </w:r>
    </w:p>
    <w:p w14:paraId="51A873EB" w14:textId="0F6A47A0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65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65"/>
          <w:sz w:val="27"/>
          <w:szCs w:val="27"/>
        </w:rPr>
        <w:t>Office Hours</w:t>
      </w:r>
      <w:r>
        <w:rPr>
          <w:rFonts w:ascii="TimesNewRomanPSMT" w:hAnsi="TimesNewRomanPSMT" w:cs="TimesNewRomanPSMT"/>
          <w:color w:val="000065"/>
          <w:sz w:val="27"/>
          <w:szCs w:val="27"/>
        </w:rPr>
        <w:t>: By Appointment</w:t>
      </w:r>
      <w:r w:rsidR="00EA14BB">
        <w:rPr>
          <w:rFonts w:ascii="TimesNewRomanPSMT" w:hAnsi="TimesNewRomanPSMT" w:cs="TimesNewRomanPSMT"/>
          <w:color w:val="000065"/>
          <w:sz w:val="27"/>
          <w:szCs w:val="27"/>
        </w:rPr>
        <w:t xml:space="preserve">; Contact Nicole </w:t>
      </w:r>
      <w:proofErr w:type="spellStart"/>
      <w:r w:rsidR="00EA14BB">
        <w:rPr>
          <w:rFonts w:ascii="TimesNewRomanPSMT" w:hAnsi="TimesNewRomanPSMT" w:cs="TimesNewRomanPSMT"/>
          <w:color w:val="000065"/>
          <w:sz w:val="27"/>
          <w:szCs w:val="27"/>
        </w:rPr>
        <w:t>Schoolsky</w:t>
      </w:r>
      <w:proofErr w:type="spellEnd"/>
      <w:r w:rsidR="00EA14BB">
        <w:rPr>
          <w:rFonts w:ascii="TimesNewRomanPSMT" w:hAnsi="TimesNewRomanPSMT" w:cs="TimesNewRomanPSMT"/>
          <w:color w:val="000065"/>
          <w:sz w:val="27"/>
          <w:szCs w:val="27"/>
        </w:rPr>
        <w:t xml:space="preserve"> – </w:t>
      </w:r>
      <w:hyperlink r:id="rId9" w:history="1">
        <w:r w:rsidR="00EA14BB" w:rsidRPr="007A6173">
          <w:rPr>
            <w:rStyle w:val="Hyperlink"/>
            <w:rFonts w:ascii="TimesNewRomanPSMT" w:hAnsi="TimesNewRomanPSMT" w:cs="TimesNewRomanPSMT"/>
            <w:sz w:val="27"/>
            <w:szCs w:val="27"/>
          </w:rPr>
          <w:t>ea@innate.capital</w:t>
        </w:r>
      </w:hyperlink>
      <w:r w:rsidR="00EA14BB">
        <w:rPr>
          <w:rFonts w:ascii="TimesNewRomanPSMT" w:hAnsi="TimesNewRomanPSMT" w:cs="TimesNewRomanPSMT"/>
          <w:color w:val="000065"/>
          <w:sz w:val="27"/>
          <w:szCs w:val="27"/>
        </w:rPr>
        <w:t xml:space="preserve"> </w:t>
      </w:r>
    </w:p>
    <w:p w14:paraId="70180D3A" w14:textId="77777777" w:rsidR="00EA14BB" w:rsidRDefault="00EA14BB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65"/>
          <w:sz w:val="27"/>
          <w:szCs w:val="27"/>
        </w:rPr>
      </w:pPr>
    </w:p>
    <w:p w14:paraId="4673D789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  <w:t>General Course Information</w:t>
      </w:r>
    </w:p>
    <w:p w14:paraId="65208273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course addresses the main macroeconomic trends, opportunities, and risks faced by</w:t>
      </w:r>
    </w:p>
    <w:p w14:paraId="2B397442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businesses and policymakers in the United Arab Emirates. Some of the questions that we</w:t>
      </w:r>
    </w:p>
    <w:p w14:paraId="562DD2D4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examine include: What have been the main sources of growth for the UAE? What are the</w:t>
      </w:r>
    </w:p>
    <w:p w14:paraId="36FDFA77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initiatives the government has taken to diversify the economy away from oil and to promote</w:t>
      </w:r>
    </w:p>
    <w:p w14:paraId="34A6C11D" w14:textId="3E7355C8" w:rsidR="00EA14BB" w:rsidRDefault="00614238" w:rsidP="00EA1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growth? </w:t>
      </w:r>
      <w:r w:rsidR="002D1C00">
        <w:rPr>
          <w:rFonts w:ascii="TimesNewRomanPSMT" w:hAnsi="TimesNewRomanPSMT" w:cs="TimesNewRomanPSMT"/>
          <w:color w:val="000000"/>
          <w:sz w:val="24"/>
          <w:szCs w:val="24"/>
        </w:rPr>
        <w:t>What drives the dynamism of the UAE’s business environment and where do future opportunities lie? What role does the UAE play in global business, and how is this role evolving?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A474CE1" w14:textId="2C5D2D81" w:rsidR="00EA14BB" w:rsidRDefault="00EA14BB" w:rsidP="00EA1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A77892" w14:textId="344B5D88" w:rsidR="00EA14BB" w:rsidRDefault="00EA14BB" w:rsidP="00EA1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course will consider the UAE’s business landscape from three lenses: (1) enterprises focused on the UAE, (2) UAE-based enterprises serving the GCC and MENA region, and (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global businesses based in the UAE. 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To what extent is business in the UAE unique, and to what extent is it </w:t>
      </w:r>
      <w:r w:rsidR="00182872">
        <w:rPr>
          <w:rFonts w:ascii="TimesNewRomanPSMT" w:hAnsi="TimesNewRomanPSMT" w:cs="TimesNewRomanPSMT"/>
          <w:color w:val="000000"/>
          <w:sz w:val="24"/>
          <w:szCs w:val="24"/>
        </w:rPr>
        <w:t>the same as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business elsewhere?  </w:t>
      </w:r>
    </w:p>
    <w:p w14:paraId="6B6C06AB" w14:textId="77777777" w:rsidR="00EA14BB" w:rsidRDefault="00EA14BB" w:rsidP="00EA1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1A9D9AC" w14:textId="72BDC01D" w:rsidR="00614238" w:rsidRDefault="00614238" w:rsidP="00F2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Travel to 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the UAE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will take place during 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pring 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reak, tentatively March 1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-1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202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; exact dates and details to be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confirmed.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The group will be based in Dubai</w:t>
      </w:r>
      <w:r w:rsidR="001828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with day trips to Abu Dhabi and other emirates. </w:t>
      </w:r>
    </w:p>
    <w:p w14:paraId="4BCB8C16" w14:textId="77777777" w:rsidR="00F249C4" w:rsidRDefault="00F249C4" w:rsidP="00F2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C106D14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Global Immersion Program classes bridge classroom lessons and business practices in another</w:t>
      </w:r>
    </w:p>
    <w:p w14:paraId="1D35910D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country. These three credit classes meet for half a term in New York prior to a one week visit to</w:t>
      </w:r>
    </w:p>
    <w:p w14:paraId="2B0A7212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country of focus where students will meet with business executives and government officials</w:t>
      </w:r>
    </w:p>
    <w:p w14:paraId="4AC6E7EB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while working on team projects. Upon return from the travel portion of the class, students may</w:t>
      </w:r>
    </w:p>
    <w:p w14:paraId="4BBBF1DF" w14:textId="5066B49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have one wrap up meeting at Columbia Business School. The 202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-202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Global Immersion</w:t>
      </w:r>
    </w:p>
    <w:p w14:paraId="5DBD5072" w14:textId="521DBAB5" w:rsidR="00614238" w:rsidRDefault="00614238" w:rsidP="00F2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Program fee for all </w:t>
      </w:r>
      <w:r w:rsidRPr="00AE4C27">
        <w:rPr>
          <w:rFonts w:ascii="TimesNewRomanPSMT" w:hAnsi="TimesNewRomanPSMT" w:cs="TimesNewRomanPSMT"/>
          <w:color w:val="000000"/>
          <w:sz w:val="24"/>
          <w:szCs w:val="24"/>
        </w:rPr>
        <w:t>classes is $</w:t>
      </w:r>
      <w:r w:rsidR="00AE4C27" w:rsidRPr="00AE4C27">
        <w:rPr>
          <w:rFonts w:ascii="TimesNewRomanPSMT" w:hAnsi="TimesNewRomanPSMT" w:cs="TimesNewRomanPSMT"/>
          <w:color w:val="000000"/>
          <w:sz w:val="24"/>
          <w:szCs w:val="24"/>
        </w:rPr>
        <w:t>1,950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provides students with double occupancy lodging, ground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transportation and some meals unless an increased fee is otherwise specified in the course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description. It does not cover roundtrip international airfare. Attendance both in New York and in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country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regular participation are a crucial part of the learning experience and as such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attendance is mandatory. Students who miss the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first class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meeting may be removed from the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course. No program fee refunds will be given after the add/drop period has closed. Please visit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Chazen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Institute website to learn more about the Global Immersion Program, and visit</w:t>
      </w:r>
    </w:p>
    <w:p w14:paraId="42C41249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Global Immersion Policies page to review policies affecting these courses.</w:t>
      </w:r>
    </w:p>
    <w:p w14:paraId="3C7DD0B7" w14:textId="77777777" w:rsidR="00F249C4" w:rsidRDefault="00F249C4" w:rsidP="006142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43695C" w14:textId="12B0F979" w:rsidR="00614238" w:rsidRDefault="00AE4C27" w:rsidP="00F2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E4C27">
        <w:rPr>
          <w:rFonts w:ascii="TimesNewRomanPSMT" w:hAnsi="TimesNewRomanPSMT" w:cs="TimesNewRomanPSMT"/>
          <w:color w:val="000000"/>
          <w:sz w:val="24"/>
          <w:szCs w:val="24"/>
        </w:rPr>
        <w:t>Proof of vaccination is required for entering the UAE; students will be asked to provide this once enrolled in the course.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614238">
        <w:rPr>
          <w:rFonts w:ascii="TimesNewRomanPSMT" w:hAnsi="TimesNewRomanPSMT" w:cs="TimesNewRomanPSMT"/>
          <w:color w:val="000000"/>
          <w:sz w:val="24"/>
          <w:szCs w:val="24"/>
        </w:rPr>
        <w:t>We</w:t>
      </w:r>
      <w:proofErr w:type="gramEnd"/>
      <w:r w:rsidR="00614238">
        <w:rPr>
          <w:rFonts w:ascii="TimesNewRomanPSMT" w:hAnsi="TimesNewRomanPSMT" w:cs="TimesNewRomanPSMT"/>
          <w:color w:val="000000"/>
          <w:sz w:val="24"/>
          <w:szCs w:val="24"/>
        </w:rPr>
        <w:t xml:space="preserve"> will be keeping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4238">
        <w:rPr>
          <w:rFonts w:ascii="TimesNewRomanPSMT" w:hAnsi="TimesNewRomanPSMT" w:cs="TimesNewRomanPSMT"/>
          <w:color w:val="000000"/>
          <w:sz w:val="24"/>
          <w:szCs w:val="24"/>
        </w:rPr>
        <w:t>a close eye on the COVID-19 levels in the UAE. Should the situation deteriorate, the travel</w:t>
      </w:r>
      <w:r w:rsidR="00F249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4238">
        <w:rPr>
          <w:rFonts w:ascii="TimesNewRomanPSMT" w:hAnsi="TimesNewRomanPSMT" w:cs="TimesNewRomanPSMT"/>
          <w:color w:val="000000"/>
          <w:sz w:val="24"/>
          <w:szCs w:val="24"/>
        </w:rPr>
        <w:t>component of the course may be cancelled.</w:t>
      </w:r>
    </w:p>
    <w:p w14:paraId="7AE41049" w14:textId="77777777" w:rsidR="00F249C4" w:rsidRDefault="00F249C4" w:rsidP="00F24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F2DCC75" w14:textId="070D2404" w:rsidR="00614238" w:rsidRDefault="005E0B2C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  <w:lastRenderedPageBreak/>
        <w:t>Course</w:t>
      </w:r>
      <w:r w:rsidR="00614238"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  <w:t xml:space="preserve"> Assistant</w:t>
      </w:r>
    </w:p>
    <w:p w14:paraId="7B097CC4" w14:textId="58F55258" w:rsidR="00614238" w:rsidRDefault="00F249C4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Luca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Borboni</w:t>
      </w:r>
      <w:proofErr w:type="spellEnd"/>
      <w:r w:rsidR="00614238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hyperlink r:id="rId10" w:history="1">
        <w:r w:rsidR="00182872" w:rsidRPr="007A6173">
          <w:rPr>
            <w:rStyle w:val="Hyperlink"/>
            <w:rFonts w:ascii="TimesNewRomanPSMT" w:hAnsi="TimesNewRomanPSMT" w:cs="TimesNewRomanPSMT"/>
            <w:sz w:val="24"/>
            <w:szCs w:val="24"/>
          </w:rPr>
          <w:t>lborboni24@gsb.columbia.edu</w:t>
        </w:r>
      </w:hyperlink>
    </w:p>
    <w:p w14:paraId="4DD9C543" w14:textId="77777777" w:rsidR="00F249C4" w:rsidRDefault="00F249C4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24"/>
          <w:szCs w:val="24"/>
        </w:rPr>
      </w:pPr>
    </w:p>
    <w:p w14:paraId="36046A5B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  <w:t>Course Requirements and Grading</w:t>
      </w:r>
    </w:p>
    <w:p w14:paraId="62710856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Lectures</w:t>
      </w:r>
    </w:p>
    <w:p w14:paraId="7EFE9BAE" w14:textId="7158CB4B" w:rsidR="00614238" w:rsidRDefault="00614238" w:rsidP="002D1C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There will be </w:t>
      </w:r>
      <w:r w:rsidR="00E005D7">
        <w:rPr>
          <w:rFonts w:ascii="TimesNewRomanPSMT" w:hAnsi="TimesNewRomanPSMT" w:cs="TimesNewRomanPSMT"/>
          <w:color w:val="000000"/>
          <w:sz w:val="24"/>
          <w:szCs w:val="24"/>
        </w:rPr>
        <w:t>seven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005D7">
        <w:rPr>
          <w:rFonts w:ascii="TimesNewRomanPSMT" w:hAnsi="TimesNewRomanPSMT" w:cs="TimesNewRomanPSMT"/>
          <w:color w:val="000000"/>
          <w:sz w:val="24"/>
          <w:szCs w:val="24"/>
        </w:rPr>
        <w:t xml:space="preserve">90-minute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classes on Tuesdays from 8:30-10:00 in </w:t>
      </w:r>
      <w:r w:rsidR="00210B31">
        <w:rPr>
          <w:rFonts w:ascii="TimesNewRomanPSMT" w:hAnsi="TimesNewRomanPSMT" w:cs="TimesNewRomanPSMT"/>
          <w:color w:val="000000"/>
          <w:sz w:val="24"/>
          <w:szCs w:val="24"/>
        </w:rPr>
        <w:t>Kravis 410.</w:t>
      </w:r>
      <w:r w:rsidR="002D1C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Classes</w:t>
      </w:r>
      <w:r w:rsidR="002D1C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include discussion of business and policy issues in the UAE, student presentations, and guest</w:t>
      </w:r>
    </w:p>
    <w:p w14:paraId="08A75FA5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speakers.</w:t>
      </w:r>
    </w:p>
    <w:p w14:paraId="7B745237" w14:textId="77777777" w:rsidR="00182872" w:rsidRDefault="00182872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E36603B" w14:textId="38589CE7" w:rsidR="008A4033" w:rsidRDefault="00792131" w:rsidP="008A40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Thematic </w:t>
      </w:r>
      <w:r w:rsidR="0061423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Presentations</w:t>
      </w:r>
      <w:r w:rsidR="008A40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(Group) </w:t>
      </w:r>
    </w:p>
    <w:p w14:paraId="12564EA0" w14:textId="4222277A" w:rsidR="00182872" w:rsidRDefault="00614238" w:rsidP="008A40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Every student is responsible for being part of a group </w:t>
      </w:r>
      <w:r w:rsidR="008A4033">
        <w:rPr>
          <w:rFonts w:ascii="TimesNewRomanPSMT" w:hAnsi="TimesNewRomanPSMT" w:cs="TimesNewRomanPSMT"/>
          <w:color w:val="000000"/>
          <w:sz w:val="24"/>
          <w:szCs w:val="24"/>
        </w:rPr>
        <w:t xml:space="preserve">thematic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presentation. Every presentation will be 20</w:t>
      </w:r>
      <w:r w:rsidR="008A40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minutes and will be followed by 10 minutes of question and answer. Each student must sign up on</w:t>
      </w:r>
      <w:r w:rsidR="00E005D7">
        <w:rPr>
          <w:rFonts w:ascii="TimesNewRomanPSMT" w:hAnsi="TimesNewRomanPSMT" w:cs="TimesNewRomanPSMT"/>
          <w:color w:val="000000"/>
          <w:sz w:val="24"/>
          <w:szCs w:val="24"/>
        </w:rPr>
        <w:t xml:space="preserve"> Canvas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a presentation group associated with the topic of their preference. Every group will</w:t>
      </w:r>
      <w:r w:rsidR="001828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consist of 6-7 students and the deadline to sign up for a group is </w:t>
      </w:r>
      <w:r w:rsidR="0018287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11:59pm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on January 2</w:t>
      </w:r>
      <w:r w:rsidR="0018287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14:paraId="3907F669" w14:textId="77777777" w:rsidR="00182872" w:rsidRDefault="00182872" w:rsidP="001828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E53C6A" w14:textId="65A7B947" w:rsidR="00614238" w:rsidRDefault="00614238" w:rsidP="001828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r w:rsidR="001828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topics to be discussed are: 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 xml:space="preserve">(1) national development agenda, political institutions, and fiscal management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="00182872">
        <w:rPr>
          <w:rFonts w:ascii="TimesNewRomanPSMT" w:hAnsi="TimesNewRomanPSMT" w:cs="TimesNewRomanPSMT"/>
          <w:color w:val="000000"/>
          <w:sz w:val="24"/>
          <w:szCs w:val="24"/>
        </w:rPr>
        <w:t xml:space="preserve">the finance sector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real estate; 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 xml:space="preserve">(3) energy, sustainability, and ESG,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828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 xml:space="preserve">trade and tourism; and (5) </w:t>
      </w:r>
      <w:r w:rsidR="00182872">
        <w:rPr>
          <w:rFonts w:ascii="TimesNewRomanPSMT" w:hAnsi="TimesNewRomanPSMT" w:cs="TimesNewRomanPSMT"/>
          <w:color w:val="000000"/>
          <w:sz w:val="24"/>
          <w:szCs w:val="24"/>
        </w:rPr>
        <w:t xml:space="preserve">organization, human resources,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labo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>r.</w:t>
      </w:r>
    </w:p>
    <w:p w14:paraId="0973F98D" w14:textId="77777777" w:rsidR="00182872" w:rsidRDefault="00182872" w:rsidP="001828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4B9070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is not necessary for everyone in the group to present, but everyone in the group must take part</w:t>
      </w:r>
    </w:p>
    <w:p w14:paraId="455A7451" w14:textId="6A6E37EF" w:rsidR="00614238" w:rsidRDefault="00614238" w:rsidP="001828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the preparation of the presentation. Here is what the presentation must include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 order 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receive</w:t>
      </w:r>
      <w:r w:rsidR="001828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full credit:</w:t>
      </w:r>
    </w:p>
    <w:p w14:paraId="2164C463" w14:textId="77777777" w:rsidR="008A4033" w:rsidRDefault="008A4033" w:rsidP="001828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2D1F8B" w14:textId="157467FE" w:rsidR="00614238" w:rsidRPr="008A4033" w:rsidRDefault="00614238" w:rsidP="008A4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A4033">
        <w:rPr>
          <w:rFonts w:ascii="TimesNewRomanPSMT" w:hAnsi="TimesNewRomanPSMT" w:cs="TimesNewRomanPSMT"/>
          <w:color w:val="000000"/>
          <w:sz w:val="24"/>
          <w:szCs w:val="24"/>
        </w:rPr>
        <w:t xml:space="preserve">An overview of the macroeconomic issue and how important it is for the overall </w:t>
      </w:r>
      <w:proofErr w:type="gramStart"/>
      <w:r w:rsidRPr="008A4033">
        <w:rPr>
          <w:rFonts w:ascii="TimesNewRomanPSMT" w:hAnsi="TimesNewRomanPSMT" w:cs="TimesNewRomanPSMT"/>
          <w:color w:val="000000"/>
          <w:sz w:val="24"/>
          <w:szCs w:val="24"/>
        </w:rPr>
        <w:t>economy</w:t>
      </w:r>
      <w:r w:rsidR="0057486E">
        <w:rPr>
          <w:rFonts w:ascii="TimesNewRomanPSMT" w:hAnsi="TimesNewRomanPSMT" w:cs="TimesNewRomanPSMT"/>
          <w:color w:val="000000"/>
          <w:sz w:val="24"/>
          <w:szCs w:val="24"/>
        </w:rPr>
        <w:t>;</w:t>
      </w:r>
      <w:proofErr w:type="gramEnd"/>
    </w:p>
    <w:p w14:paraId="123B5BC8" w14:textId="2A9FA386" w:rsidR="00614238" w:rsidRPr="008A4033" w:rsidRDefault="00614238" w:rsidP="008A4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A4033">
        <w:rPr>
          <w:rFonts w:ascii="TimesNewRomanPSMT" w:hAnsi="TimesNewRomanPSMT" w:cs="TimesNewRomanPSMT"/>
          <w:color w:val="000000"/>
          <w:sz w:val="24"/>
          <w:szCs w:val="24"/>
        </w:rPr>
        <w:t>A discussion of the trends revolving around this issue and a discussion of the domestic and</w:t>
      </w:r>
      <w:r w:rsidR="008A40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8A4033">
        <w:rPr>
          <w:rFonts w:ascii="TimesNewRomanPSMT" w:hAnsi="TimesNewRomanPSMT" w:cs="TimesNewRomanPSMT"/>
          <w:color w:val="000000"/>
          <w:sz w:val="24"/>
          <w:szCs w:val="24"/>
        </w:rPr>
        <w:t xml:space="preserve">international factors behind this </w:t>
      </w:r>
      <w:proofErr w:type="gramStart"/>
      <w:r w:rsidRPr="008A4033">
        <w:rPr>
          <w:rFonts w:ascii="TimesNewRomanPSMT" w:hAnsi="TimesNewRomanPSMT" w:cs="TimesNewRomanPSMT"/>
          <w:color w:val="000000"/>
          <w:sz w:val="24"/>
          <w:szCs w:val="24"/>
        </w:rPr>
        <w:t>trend</w:t>
      </w:r>
      <w:r w:rsidR="0057486E">
        <w:rPr>
          <w:rFonts w:ascii="TimesNewRomanPSMT" w:hAnsi="TimesNewRomanPSMT" w:cs="TimesNewRomanPSMT"/>
          <w:color w:val="000000"/>
          <w:sz w:val="24"/>
          <w:szCs w:val="24"/>
        </w:rPr>
        <w:t>;</w:t>
      </w:r>
      <w:proofErr w:type="gramEnd"/>
    </w:p>
    <w:p w14:paraId="0A3CCD6B" w14:textId="4467A70C" w:rsidR="00614238" w:rsidRPr="008A4033" w:rsidRDefault="00614238" w:rsidP="008A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A4033">
        <w:rPr>
          <w:rFonts w:ascii="TimesNewRomanPSMT" w:hAnsi="TimesNewRomanPSMT" w:cs="TimesNewRomanPSMT"/>
          <w:color w:val="000000"/>
          <w:sz w:val="24"/>
          <w:szCs w:val="24"/>
        </w:rPr>
        <w:t xml:space="preserve">A discussion of the role of government policy and foreign investors in shaping this </w:t>
      </w:r>
      <w:proofErr w:type="gramStart"/>
      <w:r w:rsidRPr="008A4033">
        <w:rPr>
          <w:rFonts w:ascii="TimesNewRomanPSMT" w:hAnsi="TimesNewRomanPSMT" w:cs="TimesNewRomanPSMT"/>
          <w:color w:val="000000"/>
          <w:sz w:val="24"/>
          <w:szCs w:val="24"/>
        </w:rPr>
        <w:t>trend</w:t>
      </w:r>
      <w:r w:rsidR="0057486E">
        <w:rPr>
          <w:rFonts w:ascii="TimesNewRomanPSMT" w:hAnsi="TimesNewRomanPSMT" w:cs="TimesNewRomanPSMT"/>
          <w:color w:val="000000"/>
          <w:sz w:val="24"/>
          <w:szCs w:val="24"/>
        </w:rPr>
        <w:t>;</w:t>
      </w:r>
      <w:proofErr w:type="gramEnd"/>
    </w:p>
    <w:p w14:paraId="59A13977" w14:textId="565A5C59" w:rsidR="00614238" w:rsidRPr="008A4033" w:rsidRDefault="00614238" w:rsidP="008A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A4033">
        <w:rPr>
          <w:rFonts w:ascii="TimesNewRomanPSMT" w:hAnsi="TimesNewRomanPSMT" w:cs="TimesNewRomanPSMT"/>
          <w:color w:val="000000"/>
          <w:sz w:val="24"/>
          <w:szCs w:val="24"/>
        </w:rPr>
        <w:t>An assessment of the main challenges faced by the country regarding this issue</w:t>
      </w:r>
      <w:r w:rsidR="0057486E">
        <w:rPr>
          <w:rFonts w:ascii="TimesNewRomanPSMT" w:hAnsi="TimesNewRomanPSMT" w:cs="TimesNewRomanPSMT"/>
          <w:color w:val="000000"/>
          <w:sz w:val="24"/>
          <w:szCs w:val="24"/>
        </w:rPr>
        <w:t>; and</w:t>
      </w:r>
    </w:p>
    <w:p w14:paraId="7551E4BC" w14:textId="3E294873" w:rsidR="00614238" w:rsidRPr="0057486E" w:rsidRDefault="00614238" w:rsidP="00574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A4033">
        <w:rPr>
          <w:rFonts w:ascii="TimesNewRomanPSMT" w:hAnsi="TimesNewRomanPSMT" w:cs="TimesNewRomanPSMT"/>
          <w:color w:val="000000"/>
          <w:sz w:val="24"/>
          <w:szCs w:val="24"/>
        </w:rPr>
        <w:t>A set of questions which the group will investigate further during the term and during the</w:t>
      </w:r>
      <w:r w:rsidR="00574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7486E">
        <w:rPr>
          <w:rFonts w:ascii="TimesNewRomanPSMT" w:hAnsi="TimesNewRomanPSMT" w:cs="TimesNewRomanPSMT"/>
          <w:color w:val="000000"/>
          <w:sz w:val="24"/>
          <w:szCs w:val="24"/>
        </w:rPr>
        <w:t>trip in preparation for the final group written assignment.</w:t>
      </w:r>
    </w:p>
    <w:p w14:paraId="2C24217D" w14:textId="77777777" w:rsidR="00182872" w:rsidRDefault="00182872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95F0BA" w14:textId="46B6B7C0" w:rsidR="00614238" w:rsidRPr="00E005D7" w:rsidRDefault="00614238" w:rsidP="00E005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presentations should </w:t>
      </w:r>
      <w:r w:rsidR="008A4033">
        <w:rPr>
          <w:rFonts w:ascii="TimesNewRomanPSMT" w:hAnsi="TimesNewRomanPSMT" w:cs="TimesNewRomanPSMT"/>
          <w:color w:val="000000"/>
          <w:sz w:val="24"/>
          <w:szCs w:val="24"/>
        </w:rPr>
        <w:t>include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Power</w:t>
      </w:r>
      <w:r w:rsidR="008A4033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oint slides which must be</w:t>
      </w:r>
      <w:r w:rsidR="008A4033">
        <w:rPr>
          <w:rFonts w:ascii="TimesNewRomanPSMT" w:hAnsi="TimesNewRomanPSMT" w:cs="TimesNewRomanPSMT"/>
          <w:color w:val="000000"/>
          <w:sz w:val="24"/>
          <w:szCs w:val="24"/>
        </w:rPr>
        <w:t xml:space="preserve"> uploaded </w:t>
      </w:r>
      <w:r w:rsidR="00E005D7">
        <w:rPr>
          <w:rFonts w:ascii="TimesNewRomanPSMT" w:hAnsi="TimesNewRomanPSMT" w:cs="TimesNewRomanPSMT"/>
          <w:color w:val="000000"/>
          <w:sz w:val="24"/>
          <w:szCs w:val="24"/>
        </w:rPr>
        <w:t xml:space="preserve">to Canvas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before 8 AM</w:t>
      </w:r>
      <w:r w:rsidR="00E005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on the day of class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A4033">
        <w:rPr>
          <w:rFonts w:ascii="TimesNewRomanPSMT" w:hAnsi="TimesNewRomanPSMT" w:cs="TimesNewRomanPSMT"/>
          <w:color w:val="000000"/>
          <w:sz w:val="24"/>
          <w:szCs w:val="24"/>
        </w:rPr>
        <w:t xml:space="preserve"> Grading will be based on both the quality of the PPT and the in-class oral presentation. </w:t>
      </w:r>
    </w:p>
    <w:p w14:paraId="155DA17B" w14:textId="77777777" w:rsidR="00182872" w:rsidRDefault="00182872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40F420" w14:textId="0125774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the post-trip session, each group will spend a few minutes discussing what they have learned</w:t>
      </w:r>
    </w:p>
    <w:p w14:paraId="6AE24052" w14:textId="01D5510C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regarding their assigned topic during the trip</w:t>
      </w:r>
      <w:r w:rsidR="00792131">
        <w:rPr>
          <w:rFonts w:ascii="TimesNewRomanPSMT" w:hAnsi="TimesNewRomanPSMT" w:cs="TimesNewRomanPSMT"/>
          <w:color w:val="000000"/>
          <w:sz w:val="24"/>
          <w:szCs w:val="24"/>
        </w:rPr>
        <w:t xml:space="preserve"> and how their understanding may have changed based on the trip. </w:t>
      </w:r>
    </w:p>
    <w:p w14:paraId="1D9A595C" w14:textId="77777777" w:rsidR="00182872" w:rsidRDefault="00182872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4CA7BAF" w14:textId="4E8A0CFC" w:rsidR="00614238" w:rsidRDefault="0057486E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Final </w:t>
      </w:r>
      <w:r w:rsidR="008A40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Presentations</w:t>
      </w:r>
      <w:r w:rsidR="00E005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(Group)</w:t>
      </w:r>
      <w:r w:rsidR="008A40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</w:p>
    <w:p w14:paraId="7A3A9A4B" w14:textId="715C51AA" w:rsidR="00E005D7" w:rsidRDefault="00E005D7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Every student is responsible for being part of a group final presentation. Students may form groups of their choosing and must post their group composition and topic to Canvas by 11:59pm on March 5th. No two groups may choose the same topic; the first group to select an institution will be </w:t>
      </w:r>
    </w:p>
    <w:p w14:paraId="5E6AFD21" w14:textId="77777777" w:rsidR="00E005D7" w:rsidRDefault="00E005D7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845EC31" w14:textId="2657328A" w:rsidR="00792131" w:rsidRDefault="00792131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Choose an </w:t>
      </w:r>
      <w:r w:rsidR="003903E0">
        <w:rPr>
          <w:rFonts w:ascii="TimesNewRomanPSMT" w:hAnsi="TimesNewRomanPSMT" w:cs="TimesNewRomanPSMT"/>
          <w:color w:val="000000"/>
          <w:sz w:val="24"/>
          <w:szCs w:val="24"/>
        </w:rPr>
        <w:t xml:space="preserve">institution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(either a business or another institution) that you see as reflective of the dynamism of the UAE economy and business environment. </w:t>
      </w:r>
    </w:p>
    <w:p w14:paraId="109E4D18" w14:textId="240052D5" w:rsidR="00792131" w:rsidRDefault="00792131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76894D" w14:textId="4089289C" w:rsidR="00792131" w:rsidRDefault="00792131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a </w:t>
      </w:r>
      <w:r w:rsidR="00E53BC2">
        <w:rPr>
          <w:rFonts w:ascii="TimesNewRomanPSMT" w:hAnsi="TimesNewRomanPSMT" w:cs="TimesNewRomanPSMT"/>
          <w:color w:val="000000"/>
          <w:sz w:val="24"/>
          <w:szCs w:val="24"/>
        </w:rPr>
        <w:t>PowerPoint presentation not to exceed 15 slides, discuss</w:t>
      </w:r>
      <w:r w:rsidR="008A4033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42619C82" w14:textId="35BE06E9" w:rsidR="008A4033" w:rsidRDefault="008A4033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1BF0C2" w14:textId="415E600D" w:rsidR="008A4033" w:rsidRDefault="003903E0" w:rsidP="008A4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mandate and scope of the institution</w:t>
      </w:r>
      <w:r w:rsidR="0057486E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E53BC2">
        <w:rPr>
          <w:rFonts w:ascii="TimesNewRomanPSMT" w:hAnsi="TimesNewRomanPSMT" w:cs="TimesNewRomanPSMT"/>
          <w:color w:val="000000"/>
          <w:sz w:val="24"/>
          <w:szCs w:val="24"/>
        </w:rPr>
        <w:t>why it exists and what it does</w:t>
      </w:r>
      <w:proofErr w:type="gramStart"/>
      <w:r w:rsidR="0057486E">
        <w:rPr>
          <w:rFonts w:ascii="TimesNewRomanPSMT" w:hAnsi="TimesNewRomanPSMT" w:cs="TimesNewRomanPSMT"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  <w:proofErr w:type="gramEnd"/>
    </w:p>
    <w:p w14:paraId="6E8B1961" w14:textId="2935DB99" w:rsidR="008A4033" w:rsidRDefault="003903E0" w:rsidP="008A4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Commentary on how being based in the UAE shapes its strategy and business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model;</w:t>
      </w:r>
      <w:proofErr w:type="gramEnd"/>
    </w:p>
    <w:p w14:paraId="2ACB5CE0" w14:textId="72643B95" w:rsidR="003903E0" w:rsidRDefault="003903E0" w:rsidP="008A4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Perspective (contrasting the institution with at least two comparable institutions from other countries and regions) on</w:t>
      </w:r>
      <w:r w:rsidR="0057486E">
        <w:rPr>
          <w:rFonts w:ascii="TimesNewRomanPSMT" w:hAnsi="TimesNewRomanPSMT" w:cs="TimesNewRomanPSMT"/>
          <w:color w:val="000000"/>
          <w:sz w:val="24"/>
          <w:szCs w:val="24"/>
        </w:rPr>
        <w:t xml:space="preserve"> ways in which it similar to and different from non-UAE </w:t>
      </w:r>
      <w:proofErr w:type="gramStart"/>
      <w:r w:rsidR="0057486E">
        <w:rPr>
          <w:rFonts w:ascii="TimesNewRomanPSMT" w:hAnsi="TimesNewRomanPSMT" w:cs="TimesNewRomanPSMT"/>
          <w:color w:val="000000"/>
          <w:sz w:val="24"/>
          <w:szCs w:val="24"/>
        </w:rPr>
        <w:t>peers;</w:t>
      </w:r>
      <w:proofErr w:type="gramEnd"/>
      <w:r w:rsidR="0057486E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14:paraId="065CDC18" w14:textId="462CC380" w:rsidR="003903E0" w:rsidRDefault="0057486E" w:rsidP="008A4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Analysis of ho</w:t>
      </w:r>
      <w:r w:rsidR="003903E0">
        <w:rPr>
          <w:rFonts w:ascii="TimesNewRomanPSMT" w:hAnsi="TimesNewRomanPSMT" w:cs="TimesNewRomanPSMT"/>
          <w:color w:val="000000"/>
          <w:sz w:val="24"/>
          <w:szCs w:val="24"/>
        </w:rPr>
        <w:t>w the broader themes discussed in class creates opportunities and challenges for the institution; and</w:t>
      </w:r>
    </w:p>
    <w:p w14:paraId="116F69D2" w14:textId="5C97A67E" w:rsidR="003903E0" w:rsidRPr="003903E0" w:rsidRDefault="003903E0" w:rsidP="003903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Three recommendations your team would make (based on the preceding analysis) for the institution to build on its success</w:t>
      </w:r>
      <w:r w:rsidR="00E53BC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532EFCC" w14:textId="77777777" w:rsidR="003903E0" w:rsidRPr="003903E0" w:rsidRDefault="003903E0" w:rsidP="003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F0859F" w14:textId="7A48F078" w:rsidR="00792131" w:rsidRDefault="0057486E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presentation is strictly for educational purposes. It is not intended to be shared with the institution. Students may choose any UAE-based institution and are not limited to institutions visited on the trip or discussed in class.   </w:t>
      </w:r>
    </w:p>
    <w:p w14:paraId="648F64B0" w14:textId="77777777" w:rsidR="00792131" w:rsidRDefault="00792131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3D869DB" w14:textId="68E7B7DE" w:rsidR="00614238" w:rsidRDefault="0057486E" w:rsidP="00F85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="00F85904">
        <w:rPr>
          <w:rFonts w:ascii="TimesNewRomanPSMT" w:hAnsi="TimesNewRomanPSMT" w:cs="TimesNewRomanPSMT"/>
          <w:color w:val="000000"/>
          <w:sz w:val="24"/>
          <w:szCs w:val="24"/>
        </w:rPr>
        <w:t>assignment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will be graded based on the quality of the written </w:t>
      </w:r>
      <w:r w:rsidR="00F85904">
        <w:rPr>
          <w:rFonts w:ascii="TimesNewRomanPSMT" w:hAnsi="TimesNewRomanPSMT" w:cs="TimesNewRomanPSMT"/>
          <w:color w:val="000000"/>
          <w:sz w:val="24"/>
          <w:szCs w:val="24"/>
        </w:rPr>
        <w:t>document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  In addition to submitting a written document, groups are encouraged to present their work at the post-trip class session on April 11</w:t>
      </w:r>
      <w:r w:rsidRPr="0057486E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th</w:t>
      </w:r>
      <w:r w:rsidR="00F85904">
        <w:rPr>
          <w:rFonts w:ascii="TimesNewRomanPSMT" w:hAnsi="TimesNewRomanPSMT" w:cs="TimesNewRomanPSMT"/>
          <w:color w:val="000000"/>
          <w:sz w:val="24"/>
          <w:szCs w:val="24"/>
        </w:rPr>
        <w:t>. The due date for the assignment will be April 11</w:t>
      </w:r>
      <w:r w:rsidR="00F85904" w:rsidRPr="00F8590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th</w:t>
      </w:r>
      <w:r w:rsidR="00F85904">
        <w:rPr>
          <w:rFonts w:ascii="TimesNewRomanPSMT" w:hAnsi="TimesNewRomanPSMT" w:cs="TimesNewRomanPSMT"/>
          <w:color w:val="000000"/>
          <w:sz w:val="24"/>
          <w:szCs w:val="24"/>
        </w:rPr>
        <w:t xml:space="preserve"> at 8am.</w:t>
      </w:r>
    </w:p>
    <w:p w14:paraId="388144F9" w14:textId="77777777" w:rsidR="0057486E" w:rsidRDefault="0057486E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A226D34" w14:textId="6C7D54D8" w:rsidR="00F85904" w:rsidRDefault="00614238" w:rsidP="00F859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Grading</w:t>
      </w:r>
      <w:r w:rsidR="00F8590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/>
      </w:r>
    </w:p>
    <w:p w14:paraId="418FD90F" w14:textId="1F2CD8C8" w:rsidR="00F85904" w:rsidRDefault="00614238" w:rsidP="00F859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F85904">
        <w:rPr>
          <w:rFonts w:ascii="TimesNewRomanPS-BoldMT" w:hAnsi="TimesNewRomanPS-BoldMT" w:cs="TimesNewRomanPS-BoldMT"/>
          <w:b/>
          <w:bCs/>
        </w:rPr>
        <w:t xml:space="preserve">Participation: </w:t>
      </w:r>
      <w:r w:rsidR="00F85904" w:rsidRPr="00F85904">
        <w:rPr>
          <w:rFonts w:ascii="TimesNewRomanPS-BoldMT" w:hAnsi="TimesNewRomanPS-BoldMT" w:cs="TimesNewRomanPS-BoldMT"/>
          <w:b/>
          <w:bCs/>
        </w:rPr>
        <w:t>3</w:t>
      </w:r>
      <w:r w:rsidRPr="00F85904">
        <w:rPr>
          <w:rFonts w:ascii="TimesNewRomanPS-BoldMT" w:hAnsi="TimesNewRomanPS-BoldMT" w:cs="TimesNewRomanPS-BoldMT"/>
          <w:b/>
          <w:bCs/>
        </w:rPr>
        <w:t>0%</w:t>
      </w:r>
    </w:p>
    <w:p w14:paraId="1685434E" w14:textId="685D2284" w:rsidR="00F85904" w:rsidRPr="00F85904" w:rsidRDefault="00F85904" w:rsidP="00F859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Individual Assignments (to be posted on Canvas): 20%</w:t>
      </w:r>
    </w:p>
    <w:p w14:paraId="5F3E0D8F" w14:textId="5F9AEB56" w:rsidR="00614238" w:rsidRPr="00F85904" w:rsidRDefault="00F85904" w:rsidP="00F859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Thematic (Group) </w:t>
      </w:r>
      <w:r w:rsidR="00614238" w:rsidRPr="00F85904">
        <w:rPr>
          <w:rFonts w:ascii="TimesNewRomanPS-BoldMT" w:hAnsi="TimesNewRomanPS-BoldMT" w:cs="TimesNewRomanPS-BoldMT"/>
          <w:b/>
          <w:bCs/>
        </w:rPr>
        <w:t xml:space="preserve">Presentation: </w:t>
      </w:r>
      <w:r>
        <w:rPr>
          <w:rFonts w:ascii="TimesNewRomanPS-BoldMT" w:hAnsi="TimesNewRomanPS-BoldMT" w:cs="TimesNewRomanPS-BoldMT"/>
          <w:b/>
          <w:bCs/>
        </w:rPr>
        <w:t>25</w:t>
      </w:r>
      <w:r w:rsidR="00614238" w:rsidRPr="00F85904">
        <w:rPr>
          <w:rFonts w:ascii="TimesNewRomanPS-BoldMT" w:hAnsi="TimesNewRomanPS-BoldMT" w:cs="TimesNewRomanPS-BoldMT"/>
          <w:b/>
          <w:bCs/>
        </w:rPr>
        <w:t>%</w:t>
      </w:r>
    </w:p>
    <w:p w14:paraId="6A9AFD6A" w14:textId="71C2F76C" w:rsidR="00614238" w:rsidRPr="00F85904" w:rsidRDefault="00F85904" w:rsidP="00F859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Final (Group) Presentation</w:t>
      </w:r>
      <w:r w:rsidR="00614238" w:rsidRPr="00F85904">
        <w:rPr>
          <w:rFonts w:ascii="TimesNewRomanPS-BoldMT" w:hAnsi="TimesNewRomanPS-BoldMT" w:cs="TimesNewRomanPS-BoldMT"/>
          <w:b/>
          <w:bCs/>
        </w:rPr>
        <w:t xml:space="preserve">: </w:t>
      </w:r>
      <w:r>
        <w:rPr>
          <w:rFonts w:ascii="TimesNewRomanPS-BoldMT" w:hAnsi="TimesNewRomanPS-BoldMT" w:cs="TimesNewRomanPS-BoldMT"/>
          <w:b/>
          <w:bCs/>
        </w:rPr>
        <w:t>25</w:t>
      </w:r>
      <w:r w:rsidR="00614238" w:rsidRPr="00F85904">
        <w:rPr>
          <w:rFonts w:ascii="TimesNewRomanPS-BoldMT" w:hAnsi="TimesNewRomanPS-BoldMT" w:cs="TimesNewRomanPS-BoldMT"/>
          <w:b/>
          <w:bCs/>
        </w:rPr>
        <w:t>%</w:t>
      </w:r>
    </w:p>
    <w:p w14:paraId="75ABF327" w14:textId="77777777" w:rsidR="00F85904" w:rsidRPr="00F85904" w:rsidRDefault="00F85904" w:rsidP="00F8590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CD"/>
        </w:rPr>
      </w:pPr>
    </w:p>
    <w:p w14:paraId="56F8BCE0" w14:textId="77777777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CD"/>
          <w:sz w:val="27"/>
          <w:szCs w:val="27"/>
        </w:rPr>
        <w:t>Course Outline</w:t>
      </w:r>
    </w:p>
    <w:p w14:paraId="3A650FF0" w14:textId="77777777" w:rsidR="00F85904" w:rsidRDefault="00F85904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F72B066" w14:textId="26F259A0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Session 1: Introduction</w:t>
      </w:r>
    </w:p>
    <w:p w14:paraId="685ECD6B" w14:textId="155D3DEF" w:rsidR="00E005D7" w:rsidRDefault="00753195" w:rsidP="00E005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Our opening session will provide and i</w:t>
      </w:r>
      <w:r w:rsidR="00614238">
        <w:rPr>
          <w:rFonts w:ascii="TimesNewRomanPSMT" w:hAnsi="TimesNewRomanPSMT" w:cs="TimesNewRomanPSMT"/>
          <w:color w:val="000000"/>
          <w:sz w:val="24"/>
          <w:szCs w:val="24"/>
        </w:rPr>
        <w:t xml:space="preserve">ntroduction to the course </w:t>
      </w:r>
      <w:r w:rsidR="00F85904">
        <w:rPr>
          <w:rFonts w:ascii="TimesNewRomanPSMT" w:hAnsi="TimesNewRomanPSMT" w:cs="TimesNewRomanPSMT"/>
          <w:color w:val="000000"/>
          <w:sz w:val="24"/>
          <w:szCs w:val="24"/>
        </w:rPr>
        <w:t>and overview of the UAE economy and business environment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Topics covered will include: </w:t>
      </w:r>
    </w:p>
    <w:p w14:paraId="24782A09" w14:textId="21B391AE" w:rsidR="00E005D7" w:rsidRDefault="00E005D7" w:rsidP="00E005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historical context of the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UAE;</w:t>
      </w:r>
      <w:proofErr w:type="gramEnd"/>
    </w:p>
    <w:p w14:paraId="0D6F189F" w14:textId="21C502B6" w:rsidR="00E005D7" w:rsidRDefault="00E005D7" w:rsidP="00E005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role of the UAE in the GCC and broader MENA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region;</w:t>
      </w:r>
      <w:proofErr w:type="gramEnd"/>
    </w:p>
    <w:p w14:paraId="4EA2E767" w14:textId="0E285F70" w:rsidR="00E005D7" w:rsidRDefault="00E005D7" w:rsidP="00E005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Key frameworks guiding the course; and </w:t>
      </w:r>
    </w:p>
    <w:p w14:paraId="4462500A" w14:textId="19E97C13" w:rsidR="00E005D7" w:rsidRPr="00E005D7" w:rsidRDefault="00E005D7" w:rsidP="00E005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course structure and activities. </w:t>
      </w:r>
    </w:p>
    <w:p w14:paraId="61EAEA53" w14:textId="292E45B2" w:rsidR="00F85904" w:rsidRDefault="00E005D7" w:rsidP="00E005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Session 1 will also include d</w:t>
      </w:r>
      <w:r w:rsidR="00F85904">
        <w:rPr>
          <w:rFonts w:ascii="TimesNewRomanPSMT" w:hAnsi="TimesNewRomanPSMT" w:cs="TimesNewRomanPSMT"/>
          <w:color w:val="000000"/>
          <w:sz w:val="24"/>
          <w:szCs w:val="24"/>
        </w:rPr>
        <w:t>iscussion of students’ learning objectives and individual goals.</w:t>
      </w:r>
      <w:r w:rsidR="00753195">
        <w:rPr>
          <w:rFonts w:ascii="TimesNewRomanPSMT" w:hAnsi="TimesNewRomanPSMT" w:cs="TimesNewRomanPSMT"/>
          <w:color w:val="000000"/>
          <w:sz w:val="24"/>
          <w:szCs w:val="24"/>
        </w:rPr>
        <w:t xml:space="preserve"> The session will include a reflective exercise from which we will continue to draw throughout the course. </w:t>
      </w:r>
      <w:r w:rsidR="00F8590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14:paraId="14C00E54" w14:textId="7F1E05BD" w:rsidR="00F85904" w:rsidRDefault="00F85904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DC419E" w14:textId="048D394D" w:rsidR="00753195" w:rsidRDefault="00753195" w:rsidP="007531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Session 2: National Development Agenda, Political Institutions, and Fiscal Management </w:t>
      </w:r>
    </w:p>
    <w:p w14:paraId="2DCE2ECE" w14:textId="67845465" w:rsidR="00753195" w:rsidRDefault="00753195" w:rsidP="007531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Our second session will cover key aspects of the public sector, which plays a key role in both economic development and the business environment of the UAE.</w:t>
      </w:r>
      <w:r w:rsidR="00E53BC2">
        <w:rPr>
          <w:rFonts w:ascii="TimesNewRomanPSMT" w:hAnsi="TimesNewRomanPSMT" w:cs="TimesNewRomanPSMT"/>
          <w:color w:val="000000"/>
          <w:sz w:val="24"/>
          <w:szCs w:val="24"/>
        </w:rPr>
        <w:t xml:space="preserve"> Topics covered will include:</w:t>
      </w:r>
    </w:p>
    <w:p w14:paraId="59E65799" w14:textId="4A494262" w:rsidR="00753195" w:rsidRDefault="00753195" w:rsidP="00753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="00E53BC2">
        <w:rPr>
          <w:rFonts w:ascii="TimesNewRomanPSMT" w:hAnsi="TimesNewRomanPSMT" w:cs="TimesNewRomanPSMT"/>
          <w:color w:val="000000"/>
          <w:sz w:val="24"/>
          <w:szCs w:val="24"/>
        </w:rPr>
        <w:t xml:space="preserve">political structure of the </w:t>
      </w:r>
      <w:proofErr w:type="gramStart"/>
      <w:r w:rsidR="00E53BC2">
        <w:rPr>
          <w:rFonts w:ascii="TimesNewRomanPSMT" w:hAnsi="TimesNewRomanPSMT" w:cs="TimesNewRomanPSMT"/>
          <w:color w:val="000000"/>
          <w:sz w:val="24"/>
          <w:szCs w:val="24"/>
        </w:rPr>
        <w:t>UAE;</w:t>
      </w:r>
      <w:proofErr w:type="gramEnd"/>
    </w:p>
    <w:p w14:paraId="74BB5C59" w14:textId="1137F339" w:rsidR="00753195" w:rsidRDefault="00E53BC2" w:rsidP="00753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Public sector institutions and their role in the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economy;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2D2C561" w14:textId="198BEB3F" w:rsidR="00753195" w:rsidRDefault="000B34FE" w:rsidP="00753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national development agenda</w:t>
      </w:r>
      <w:r w:rsidR="00E53BC2">
        <w:rPr>
          <w:rFonts w:ascii="TimesNewRomanPSMT" w:hAnsi="TimesNewRomanPSMT" w:cs="TimesNewRomanPSMT"/>
          <w:color w:val="000000"/>
          <w:sz w:val="24"/>
          <w:szCs w:val="24"/>
        </w:rPr>
        <w:t xml:space="preserve">; and </w:t>
      </w:r>
    </w:p>
    <w:p w14:paraId="5723B202" w14:textId="365D1BB0" w:rsidR="00E53BC2" w:rsidRPr="00E53BC2" w:rsidRDefault="00E53BC2" w:rsidP="00E53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International affairs and their impact on the UAE business environment. </w:t>
      </w:r>
    </w:p>
    <w:p w14:paraId="140CDF78" w14:textId="2606DA0C" w:rsidR="00E53BC2" w:rsidRDefault="00E53BC2" w:rsidP="00E53B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Group Presentation: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National development agenda, political institutions, and fiscal management </w:t>
      </w:r>
    </w:p>
    <w:p w14:paraId="2CFBF2AD" w14:textId="7B1848FB" w:rsidR="00E53BC2" w:rsidRDefault="00E53BC2" w:rsidP="00E53B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Session 2 will also include a guest speaker (to be confirmed) who is an expert on the policy environment in the UAE.  </w:t>
      </w:r>
    </w:p>
    <w:p w14:paraId="16F165D4" w14:textId="2657B199" w:rsidR="00753195" w:rsidRDefault="00753195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BC549C3" w14:textId="42982258" w:rsidR="00E53BC2" w:rsidRDefault="00E53BC2" w:rsidP="00E53B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Session 3: Finance and Real Estate </w:t>
      </w:r>
    </w:p>
    <w:p w14:paraId="0AABB32E" w14:textId="13B13BAD" w:rsidR="00E53BC2" w:rsidRDefault="00E53BC2" w:rsidP="00E53B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Our </w:t>
      </w:r>
      <w:r w:rsidR="00E3482C">
        <w:rPr>
          <w:rFonts w:ascii="TimesNewRomanPSMT" w:hAnsi="TimesNewRomanPSMT" w:cs="TimesNewRomanPSMT"/>
          <w:color w:val="000000"/>
          <w:sz w:val="24"/>
          <w:szCs w:val="24"/>
        </w:rPr>
        <w:t>third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session will cover the finance and real estate sectors, both of which are pivotal to the UAE and its international standing. Topics covered will include:</w:t>
      </w:r>
    </w:p>
    <w:p w14:paraId="7805B091" w14:textId="698A1EC7" w:rsidR="00E53BC2" w:rsidRDefault="006E5A06" w:rsidP="00E53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Institutional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investors;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D53A81C" w14:textId="01205227" w:rsidR="00E53BC2" w:rsidRDefault="00E3482C" w:rsidP="00E53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</w:t>
      </w:r>
      <w:r w:rsidR="006E5A06">
        <w:rPr>
          <w:rFonts w:ascii="TimesNewRomanPSMT" w:hAnsi="TimesNewRomanPSMT" w:cs="TimesNewRomanPSMT"/>
          <w:color w:val="000000"/>
          <w:sz w:val="24"/>
          <w:szCs w:val="24"/>
        </w:rPr>
        <w:t>inancial services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landscape</w:t>
      </w:r>
      <w:r w:rsidR="006E5A06">
        <w:rPr>
          <w:rFonts w:ascii="TimesNewRomanPSMT" w:hAnsi="TimesNewRomanPSMT" w:cs="TimesNewRomanPSMT"/>
          <w:color w:val="000000"/>
          <w:sz w:val="24"/>
          <w:szCs w:val="24"/>
        </w:rPr>
        <w:t xml:space="preserve">: banking, asset management, insurance, and </w:t>
      </w:r>
      <w:proofErr w:type="gramStart"/>
      <w:r w:rsidR="006E5A06">
        <w:rPr>
          <w:rFonts w:ascii="TimesNewRomanPSMT" w:hAnsi="TimesNewRomanPSMT" w:cs="TimesNewRomanPSMT"/>
          <w:color w:val="000000"/>
          <w:sz w:val="24"/>
          <w:szCs w:val="24"/>
        </w:rPr>
        <w:t>beyond</w:t>
      </w:r>
      <w:r w:rsidR="00E53BC2">
        <w:rPr>
          <w:rFonts w:ascii="TimesNewRomanPSMT" w:hAnsi="TimesNewRomanPSMT" w:cs="TimesNewRomanPSMT"/>
          <w:color w:val="000000"/>
          <w:sz w:val="24"/>
          <w:szCs w:val="24"/>
        </w:rPr>
        <w:t>;</w:t>
      </w:r>
      <w:proofErr w:type="gramEnd"/>
      <w:r w:rsidR="00E53B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D64F058" w14:textId="376BF2CB" w:rsidR="00E53BC2" w:rsidRDefault="00E3482C" w:rsidP="00E53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real estate sector; and </w:t>
      </w:r>
    </w:p>
    <w:p w14:paraId="04654653" w14:textId="133EECED" w:rsidR="00E53BC2" w:rsidRPr="00E53BC2" w:rsidRDefault="00E3482C" w:rsidP="00E53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ESG investment considerations.</w:t>
      </w:r>
    </w:p>
    <w:p w14:paraId="3C479646" w14:textId="570A73EB" w:rsidR="00E53BC2" w:rsidRDefault="00E53BC2" w:rsidP="00E53B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Group Presentation: </w:t>
      </w:r>
      <w:r w:rsidR="0033265A">
        <w:rPr>
          <w:rFonts w:ascii="TimesNewRomanPSMT" w:hAnsi="TimesNewRomanPSMT" w:cs="TimesNewRomanPSMT"/>
          <w:color w:val="000000"/>
          <w:sz w:val="24"/>
          <w:szCs w:val="24"/>
        </w:rPr>
        <w:t>Financ</w:t>
      </w:r>
      <w:r w:rsidR="00E3482C">
        <w:rPr>
          <w:rFonts w:ascii="TimesNewRomanPSMT" w:hAnsi="TimesNewRomanPSMT" w:cs="TimesNewRomanPSMT"/>
          <w:color w:val="000000"/>
          <w:sz w:val="24"/>
          <w:szCs w:val="24"/>
        </w:rPr>
        <w:t xml:space="preserve">e and Real Estate </w:t>
      </w:r>
      <w:r w:rsidR="003326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D4505AA" w14:textId="4043B7BD" w:rsidR="00E53BC2" w:rsidRDefault="00E53BC2" w:rsidP="00B31C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Session </w:t>
      </w:r>
      <w:r w:rsidR="00E3482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will also include a guest speaker (to be confirmed) who is </w:t>
      </w:r>
      <w:r w:rsidR="00E3482C">
        <w:rPr>
          <w:rFonts w:ascii="TimesNewRomanPSMT" w:hAnsi="TimesNewRomanPSMT" w:cs="TimesNewRomanPSMT"/>
          <w:color w:val="000000"/>
          <w:sz w:val="24"/>
          <w:szCs w:val="24"/>
        </w:rPr>
        <w:t xml:space="preserve">a finance practitioner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the UAE.  </w:t>
      </w:r>
    </w:p>
    <w:p w14:paraId="3D89D536" w14:textId="77777777" w:rsidR="00E53BC2" w:rsidRDefault="00E53BC2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9BCA5C" w14:textId="0A0593C7" w:rsidR="00E3482C" w:rsidRDefault="00E3482C" w:rsidP="00E348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Session 4: Energy, Sustainability, and ESG </w:t>
      </w:r>
    </w:p>
    <w:p w14:paraId="3FAEF500" w14:textId="74D4EB59" w:rsidR="00E3482C" w:rsidRDefault="00E3482C" w:rsidP="00E34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Our fourth session will cover the energy sector, which has been the core source of wealth in the UAE and is rapidly evolving. Topics covered will include:</w:t>
      </w:r>
    </w:p>
    <w:p w14:paraId="35F9E914" w14:textId="140EAB58" w:rsidR="00E3482C" w:rsidRDefault="00E3482C" w:rsidP="00E34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role of national oil companies in the UAE and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beyond;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F6F6334" w14:textId="4AE535CD" w:rsidR="00E3482C" w:rsidRDefault="00E3482C" w:rsidP="00E34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Key trends shaping the energy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sector;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F3DB1E8" w14:textId="701B721B" w:rsidR="00E3482C" w:rsidRDefault="00E3482C" w:rsidP="00E34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Sustainable energy and the UAE; and </w:t>
      </w:r>
    </w:p>
    <w:p w14:paraId="7CDF0052" w14:textId="4AE8691A" w:rsidR="00E3482C" w:rsidRPr="00E53BC2" w:rsidRDefault="00E3482C" w:rsidP="00E34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ESG considerations more broadly (including environmental, social, and governance).</w:t>
      </w:r>
    </w:p>
    <w:p w14:paraId="121C517D" w14:textId="0523D695" w:rsidR="00E3482C" w:rsidRDefault="00E3482C" w:rsidP="00E34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Group Presentation: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Energy, Sustainability, and ESG   </w:t>
      </w:r>
    </w:p>
    <w:p w14:paraId="4B751468" w14:textId="00EC9705" w:rsidR="00E005D7" w:rsidRDefault="00E3482C" w:rsidP="00B31C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Session 4 will also include a guest speaker (to be confirmed) who is a global energy expert. </w:t>
      </w:r>
    </w:p>
    <w:p w14:paraId="5F1D1FB4" w14:textId="2B4071BE" w:rsidR="00E3482C" w:rsidRDefault="00E3482C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D48CF36" w14:textId="3BA542CE" w:rsidR="00E3482C" w:rsidRDefault="00E3482C" w:rsidP="00E348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Session 5: Trade and Tourism</w:t>
      </w:r>
    </w:p>
    <w:p w14:paraId="1D4240EE" w14:textId="4CC5A390" w:rsidR="00E3482C" w:rsidRDefault="00E3482C" w:rsidP="00E34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Our fourth session will cover trade and tourism, a dynamic sector that has been a key component of the UAE’s economic diversification – especially in Dubai. Topics covered will include:</w:t>
      </w:r>
    </w:p>
    <w:p w14:paraId="11C1BD1C" w14:textId="665D3B10" w:rsidR="00E3482C" w:rsidRDefault="000B34FE" w:rsidP="00E34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role of Jebel Ali in enabling Dubai’s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success;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0809C0F" w14:textId="768E5BB9" w:rsidR="00E3482C" w:rsidRDefault="000B34FE" w:rsidP="00E34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role of the UAE in global and regional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trade;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0EFD0D3" w14:textId="39F9AA0A" w:rsidR="00E3482C" w:rsidRDefault="000B34FE" w:rsidP="00E34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Aviation as a key strategic sector; and </w:t>
      </w:r>
    </w:p>
    <w:p w14:paraId="3B2B25A4" w14:textId="56151B57" w:rsidR="00E3482C" w:rsidRPr="00E53BC2" w:rsidRDefault="000B34FE" w:rsidP="00E34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tourism industry and its evolution</w:t>
      </w:r>
      <w:r w:rsidR="00E3482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14FC924" w14:textId="71E91C81" w:rsidR="00E3482C" w:rsidRDefault="00E3482C" w:rsidP="00E34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Group Presentation: </w:t>
      </w:r>
      <w:r w:rsidR="000B34FE">
        <w:rPr>
          <w:rFonts w:ascii="TimesNewRomanPSMT" w:hAnsi="TimesNewRomanPSMT" w:cs="TimesNewRomanPSMT"/>
          <w:color w:val="000000"/>
          <w:sz w:val="24"/>
          <w:szCs w:val="24"/>
        </w:rPr>
        <w:t>Trade and Tourism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14:paraId="6CE42545" w14:textId="660A4581" w:rsidR="00E3482C" w:rsidRDefault="00E3482C" w:rsidP="00E348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Session </w:t>
      </w:r>
      <w:r w:rsidR="000B34FE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will also include </w:t>
      </w:r>
      <w:r w:rsidR="000B34FE">
        <w:rPr>
          <w:rFonts w:ascii="TimesNewRomanPSMT" w:hAnsi="TimesNewRomanPSMT" w:cs="TimesNewRomanPSMT"/>
          <w:color w:val="000000"/>
          <w:sz w:val="24"/>
          <w:szCs w:val="24"/>
        </w:rPr>
        <w:t xml:space="preserve">time for discussion of the final project assignment and questions from students about the project.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3A71E78" w14:textId="6CAD4E20" w:rsidR="00E3482C" w:rsidRDefault="00E3482C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2773FC9" w14:textId="61790D30" w:rsidR="000B34FE" w:rsidRDefault="000B34FE" w:rsidP="000B34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Session 6: Organization, Human Resources, and Labor</w:t>
      </w:r>
    </w:p>
    <w:p w14:paraId="33D6B92B" w14:textId="75D0635C" w:rsidR="000B34FE" w:rsidRDefault="000B34FE" w:rsidP="000B3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Our </w:t>
      </w:r>
      <w:r w:rsidR="00D369AD">
        <w:rPr>
          <w:rFonts w:ascii="TimesNewRomanPSMT" w:hAnsi="TimesNewRomanPSMT" w:cs="TimesNewRomanPSMT"/>
          <w:color w:val="000000"/>
          <w:sz w:val="24"/>
          <w:szCs w:val="24"/>
        </w:rPr>
        <w:t xml:space="preserve">final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pre-trip session will cover matters of organization, human resources, and labor. Topics covered will include:</w:t>
      </w:r>
    </w:p>
    <w:p w14:paraId="630B0D54" w14:textId="24CEFEBB" w:rsidR="000B34FE" w:rsidRDefault="000B34FE" w:rsidP="000B34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Population demographics and implications for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organizations;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F8A7479" w14:textId="675D08C5" w:rsidR="000B34FE" w:rsidRDefault="000B34FE" w:rsidP="000B34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Organization models of UAE-based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enterprises;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DA32C3D" w14:textId="67326531" w:rsidR="000B34FE" w:rsidRDefault="00D369AD" w:rsidP="000B34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Models for UAE businesses reporting into global enterprises; and </w:t>
      </w:r>
    </w:p>
    <w:p w14:paraId="303EC9E6" w14:textId="5A323D5E" w:rsidR="000B34FE" w:rsidRPr="00E53BC2" w:rsidRDefault="00D369AD" w:rsidP="000B34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Human Resources practices and organizational values. </w:t>
      </w:r>
    </w:p>
    <w:p w14:paraId="73D43C3E" w14:textId="71E6E069" w:rsidR="000B34FE" w:rsidRDefault="000B34FE" w:rsidP="000B3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Group Presentation: </w:t>
      </w:r>
      <w:r w:rsidR="00D369AD">
        <w:rPr>
          <w:rFonts w:ascii="TimesNewRomanPSMT" w:hAnsi="TimesNewRomanPSMT" w:cs="TimesNewRomanPSMT"/>
          <w:color w:val="000000"/>
          <w:sz w:val="24"/>
          <w:szCs w:val="24"/>
        </w:rPr>
        <w:t>Organization, Human Resources, and Labor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14:paraId="3017FF80" w14:textId="72DEEC54" w:rsidR="000B34FE" w:rsidRDefault="000B34FE" w:rsidP="000B3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Session </w:t>
      </w:r>
      <w:r w:rsidR="00D369AD">
        <w:rPr>
          <w:rFonts w:ascii="TimesNewRomanPSMT" w:hAnsi="TimesNewRomanPSMT" w:cs="TimesNewRomanPSMT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will also include time for discussion of </w:t>
      </w:r>
      <w:r w:rsidR="00D369AD">
        <w:rPr>
          <w:rFonts w:ascii="TimesNewRomanPSMT" w:hAnsi="TimesNewRomanPSMT" w:cs="TimesNewRomanPSMT"/>
          <w:color w:val="000000"/>
          <w:sz w:val="24"/>
          <w:szCs w:val="24"/>
        </w:rPr>
        <w:t xml:space="preserve">trip priorities and trip-related questions. </w:t>
      </w:r>
    </w:p>
    <w:p w14:paraId="42885024" w14:textId="77777777" w:rsidR="000B34FE" w:rsidRDefault="000B34FE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5DDABA4" w14:textId="39D9EDCE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Session 7: </w:t>
      </w:r>
      <w:r w:rsidR="00D369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Closing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D369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(Post-Trip)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Session</w:t>
      </w:r>
    </w:p>
    <w:p w14:paraId="0E25C67F" w14:textId="1BDAEAB0" w:rsidR="00D369AD" w:rsidRDefault="00D369AD" w:rsidP="00D369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Our closing session will wrap up the course. Topics covered will include:</w:t>
      </w:r>
    </w:p>
    <w:p w14:paraId="5A3C9F92" w14:textId="4B479DE1" w:rsidR="00D369AD" w:rsidRDefault="00D369AD" w:rsidP="00D369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Group presentations of final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projects;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2C28F09" w14:textId="70041B4F" w:rsidR="00D369AD" w:rsidRDefault="00D369AD" w:rsidP="00D369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Reflections on how the course and the trip have changed our perceptions; and </w:t>
      </w:r>
    </w:p>
    <w:p w14:paraId="6C54387E" w14:textId="35BB40C1" w:rsidR="00D369AD" w:rsidRPr="00E53BC2" w:rsidRDefault="00D369AD" w:rsidP="00D369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Course evaluation.</w:t>
      </w:r>
    </w:p>
    <w:p w14:paraId="7608376D" w14:textId="5C83AC2A" w:rsidR="00D369AD" w:rsidRPr="00D369AD" w:rsidRDefault="00D369AD" w:rsidP="00D369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Group Presentations: 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Final projects </w:t>
      </w:r>
    </w:p>
    <w:p w14:paraId="5FD51F7C" w14:textId="77777777" w:rsidR="00D369AD" w:rsidRDefault="00D369AD" w:rsidP="006142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084D08" w14:textId="2E8FBF84" w:rsidR="00614238" w:rsidRDefault="00614238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Readings</w:t>
      </w:r>
      <w:r w:rsidR="00D369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and Resources </w:t>
      </w:r>
    </w:p>
    <w:p w14:paraId="5BB2F428" w14:textId="248361B6" w:rsidR="00D369AD" w:rsidRDefault="00D369AD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Readings and resources will be posted on Canvas.</w:t>
      </w:r>
    </w:p>
    <w:p w14:paraId="5F483A0A" w14:textId="70E770F0" w:rsidR="00D369AD" w:rsidRDefault="00D369AD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14:paraId="66098A38" w14:textId="4389D643" w:rsidR="00D369AD" w:rsidRDefault="00D369AD" w:rsidP="008379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A few optional resources by way of background:</w:t>
      </w:r>
    </w:p>
    <w:p w14:paraId="765101BE" w14:textId="77777777" w:rsidR="00C137A5" w:rsidRDefault="00C137A5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14:paraId="6E2C7003" w14:textId="19EDA541" w:rsidR="00C137A5" w:rsidRDefault="00C137A5" w:rsidP="008379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Macroeconomic Environment:</w:t>
      </w:r>
    </w:p>
    <w:p w14:paraId="4B144346" w14:textId="10A5D499" w:rsidR="00C137A5" w:rsidRDefault="00C137A5" w:rsidP="00C137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The Economist. “Boom time in the Gulf,” September 24, 2022.</w:t>
      </w:r>
      <w:r w:rsidR="008379A2">
        <w:rPr>
          <w:rStyle w:val="FootnoteReference"/>
          <w:rFonts w:ascii="TimesNewRomanPS-BoldMT" w:hAnsi="TimesNewRomanPS-BoldMT" w:cs="TimesNewRomanPS-BoldMT"/>
          <w:color w:val="000000"/>
          <w:sz w:val="24"/>
          <w:szCs w:val="24"/>
        </w:rPr>
        <w:footnoteReference w:id="1"/>
      </w:r>
    </w:p>
    <w:p w14:paraId="1F8B82E2" w14:textId="39F920D8" w:rsidR="00C137A5" w:rsidRDefault="00C137A5" w:rsidP="00C137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The Economist Intelligence Unit, “United Arab Emirates”</w:t>
      </w:r>
      <w:r w:rsidR="008379A2">
        <w:rPr>
          <w:rStyle w:val="FootnoteReference"/>
          <w:rFonts w:ascii="TimesNewRomanPS-BoldMT" w:hAnsi="TimesNewRomanPS-BoldMT" w:cs="TimesNewRomanPS-BoldMT"/>
          <w:color w:val="000000"/>
          <w:sz w:val="24"/>
          <w:szCs w:val="24"/>
        </w:rPr>
        <w:footnoteReference w:id="2"/>
      </w:r>
    </w:p>
    <w:p w14:paraId="407D7D11" w14:textId="1A88B283" w:rsidR="00C137A5" w:rsidRPr="00C137A5" w:rsidRDefault="00C137A5" w:rsidP="00C137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The World Bank, “United Arab Emirates”</w:t>
      </w:r>
      <w:r w:rsidR="008379A2">
        <w:rPr>
          <w:rStyle w:val="FootnoteReference"/>
          <w:rFonts w:ascii="TimesNewRomanPS-BoldMT" w:hAnsi="TimesNewRomanPS-BoldMT" w:cs="TimesNewRomanPS-BoldMT"/>
          <w:color w:val="000000"/>
          <w:sz w:val="24"/>
          <w:szCs w:val="24"/>
        </w:rPr>
        <w:footnoteReference w:id="3"/>
      </w:r>
    </w:p>
    <w:p w14:paraId="6E347A69" w14:textId="77777777" w:rsidR="00C137A5" w:rsidRDefault="00C137A5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14:paraId="37F76A70" w14:textId="1EDF0E4E" w:rsidR="00D369AD" w:rsidRDefault="00D369AD" w:rsidP="006142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History and Economics:</w:t>
      </w:r>
    </w:p>
    <w:p w14:paraId="1C7D7B35" w14:textId="28764EE0" w:rsidR="00614238" w:rsidRDefault="00D369AD" w:rsidP="00B31C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31CB2">
        <w:rPr>
          <w:rFonts w:ascii="Times New Roman" w:hAnsi="Times New Roman" w:cs="Times New Roman"/>
          <w:color w:val="222222"/>
          <w:sz w:val="24"/>
          <w:szCs w:val="24"/>
        </w:rPr>
        <w:t xml:space="preserve">Owen, Roger and Pamuk, </w:t>
      </w:r>
      <w:proofErr w:type="spellStart"/>
      <w:r w:rsidRPr="00B31CB2">
        <w:rPr>
          <w:rFonts w:ascii="Times New Roman" w:hAnsi="Times New Roman" w:cs="Times New Roman"/>
          <w:color w:val="222222"/>
          <w:sz w:val="24"/>
          <w:szCs w:val="24"/>
        </w:rPr>
        <w:t>Sevket</w:t>
      </w:r>
      <w:proofErr w:type="spellEnd"/>
      <w:r w:rsidRPr="00B31CB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614238" w:rsidRPr="00B31CB2">
        <w:rPr>
          <w:rFonts w:ascii="Times New Roman" w:hAnsi="Times New Roman" w:cs="Times New Roman"/>
          <w:i/>
          <w:iCs/>
          <w:color w:val="222222"/>
          <w:sz w:val="24"/>
          <w:szCs w:val="24"/>
        </w:rPr>
        <w:t>A History of Middle East Economies</w:t>
      </w:r>
      <w:r w:rsidR="00B31CB2" w:rsidRPr="00B31CB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in the Twentieth Centuries</w:t>
      </w:r>
      <w:r w:rsidR="00B31CB2" w:rsidRPr="00B31CB2">
        <w:rPr>
          <w:rFonts w:ascii="Times New Roman" w:hAnsi="Times New Roman" w:cs="Times New Roman"/>
          <w:color w:val="222222"/>
          <w:sz w:val="24"/>
          <w:szCs w:val="24"/>
        </w:rPr>
        <w:t>. Harvard University Press</w:t>
      </w:r>
      <w:r w:rsidR="00B31CB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B31CB2" w:rsidRPr="00B31CB2">
        <w:rPr>
          <w:rFonts w:ascii="Times New Roman" w:hAnsi="Times New Roman" w:cs="Times New Roman"/>
          <w:color w:val="222222"/>
          <w:sz w:val="24"/>
          <w:szCs w:val="24"/>
        </w:rPr>
        <w:t xml:space="preserve"> 1999.</w:t>
      </w:r>
    </w:p>
    <w:p w14:paraId="5DBCA6C3" w14:textId="7425A28F" w:rsidR="00B31CB2" w:rsidRPr="00B31CB2" w:rsidRDefault="00195CEE" w:rsidP="00B31CB2">
      <w:pPr>
        <w:pStyle w:val="ListParagraph"/>
        <w:numPr>
          <w:ilvl w:val="0"/>
          <w:numId w:val="8"/>
        </w:numPr>
      </w:pPr>
      <w:proofErr w:type="spellStart"/>
      <w:r w:rsidRPr="00B31CB2">
        <w:rPr>
          <w:rFonts w:ascii="TimesNewRomanPSMT" w:hAnsi="TimesNewRomanPSMT" w:cs="TimesNewRomanPSMT"/>
          <w:color w:val="222222"/>
          <w:sz w:val="24"/>
          <w:szCs w:val="24"/>
        </w:rPr>
        <w:t>Ulrichsen</w:t>
      </w:r>
      <w:proofErr w:type="spell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, </w:t>
      </w:r>
      <w:r w:rsidRPr="00B31CB2">
        <w:rPr>
          <w:rFonts w:ascii="TimesNewRomanPSMT" w:hAnsi="TimesNewRomanPSMT" w:cs="TimesNewRomanPSMT"/>
          <w:color w:val="222222"/>
          <w:sz w:val="24"/>
          <w:szCs w:val="24"/>
        </w:rPr>
        <w:t xml:space="preserve">Kristian Coates </w:t>
      </w:r>
      <w:r>
        <w:rPr>
          <w:rFonts w:ascii="TimesNewRomanPSMT" w:hAnsi="TimesNewRomanPSMT" w:cs="TimesNewRomanPSMT"/>
          <w:color w:val="222222"/>
          <w:sz w:val="24"/>
          <w:szCs w:val="24"/>
        </w:rPr>
        <w:t>(Ed.)</w:t>
      </w:r>
      <w:r w:rsidRPr="00B31CB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B31CB2" w:rsidRPr="00B31CB2">
        <w:rPr>
          <w:rFonts w:ascii="Times New Roman" w:hAnsi="Times New Roman" w:cs="Times New Roman"/>
          <w:i/>
          <w:iCs/>
          <w:color w:val="222222"/>
          <w:sz w:val="24"/>
          <w:szCs w:val="24"/>
        </w:rPr>
        <w:t>The Political Economy of Arab Gulf States</w:t>
      </w:r>
      <w:r w:rsidR="00B31CB2" w:rsidRPr="00B31CB2">
        <w:rPr>
          <w:rFonts w:ascii="TimesNewRomanPSMT" w:hAnsi="TimesNewRomanPSMT" w:cs="TimesNewRomanPSMT"/>
          <w:color w:val="222222"/>
          <w:sz w:val="24"/>
          <w:szCs w:val="24"/>
        </w:rPr>
        <w:t>,</w:t>
      </w:r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Elgar, 2013.</w:t>
      </w:r>
    </w:p>
    <w:p w14:paraId="50E39CB1" w14:textId="20F9D24A" w:rsidR="00B31CB2" w:rsidRDefault="00B31CB2" w:rsidP="00B31C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31CB2">
        <w:rPr>
          <w:rFonts w:ascii="TimesNewRomanPSMT" w:hAnsi="TimesNewRomanPSMT" w:cs="TimesNewRomanPSMT"/>
          <w:color w:val="000000"/>
          <w:sz w:val="24"/>
          <w:szCs w:val="24"/>
        </w:rPr>
        <w:t>Yared</w:t>
      </w:r>
      <w:proofErr w:type="spellEnd"/>
      <w:r w:rsidRPr="00B31CB2">
        <w:rPr>
          <w:rFonts w:ascii="TimesNewRomanPSMT" w:hAnsi="TimesNewRomanPSMT" w:cs="TimesNewRomanPSMT"/>
          <w:color w:val="000000"/>
          <w:sz w:val="24"/>
          <w:szCs w:val="24"/>
        </w:rPr>
        <w:t>, Pierre (2018) “Responding to the Oil Industry Downturn: Challenges to Debt”</w:t>
      </w:r>
    </w:p>
    <w:p w14:paraId="28BAD548" w14:textId="77777777" w:rsidR="00B31CB2" w:rsidRDefault="00B31CB2" w:rsidP="00614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94C194B" w14:textId="0DF3CB9F" w:rsidR="00B31CB2" w:rsidRDefault="00B31CB2" w:rsidP="00B31C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Business and Finance:</w:t>
      </w:r>
    </w:p>
    <w:p w14:paraId="07733202" w14:textId="1DE37A8D" w:rsidR="00B31CB2" w:rsidRPr="00B31CB2" w:rsidRDefault="00B31CB2" w:rsidP="00B31C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Rehman, Aamir A.</w:t>
      </w:r>
      <w:r w:rsidRPr="00B31CB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Dubai &amp; Co</w:t>
      </w:r>
      <w:r w:rsidRPr="00B31CB2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: Global Strategies for Doing Business in the Gulf States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B31CB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McGraw-Hill, 2007</w:t>
      </w:r>
      <w:r w:rsidRPr="00B31CB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9522F72" w14:textId="221C7350" w:rsidR="00B31CB2" w:rsidRPr="00B31CB2" w:rsidRDefault="00B31CB2" w:rsidP="00B31C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Rehman, Aamir A. 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Gulf Capital &amp; Islamic Finance: The Rise of the New Global Players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McGraw-Hill, 2009.</w:t>
      </w:r>
    </w:p>
    <w:p w14:paraId="14A5BAF4" w14:textId="77777777" w:rsidR="00B31CB2" w:rsidRPr="00B31CB2" w:rsidRDefault="00B31CB2" w:rsidP="00614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14:paraId="462A0EE6" w14:textId="46C8D0AA" w:rsidR="00396780" w:rsidRDefault="00396780" w:rsidP="00614238"/>
    <w:sectPr w:rsidR="003967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20C6" w14:textId="77777777" w:rsidR="00F55251" w:rsidRDefault="00F55251" w:rsidP="00753195">
      <w:pPr>
        <w:spacing w:after="0" w:line="240" w:lineRule="auto"/>
      </w:pPr>
      <w:r>
        <w:separator/>
      </w:r>
    </w:p>
  </w:endnote>
  <w:endnote w:type="continuationSeparator" w:id="0">
    <w:p w14:paraId="773FFD00" w14:textId="77777777" w:rsidR="00F55251" w:rsidRDefault="00F55251" w:rsidP="0075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92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B6838" w14:textId="33241960" w:rsidR="00753195" w:rsidRDefault="00753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28787" w14:textId="77777777" w:rsidR="00753195" w:rsidRDefault="0075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46C6" w14:textId="77777777" w:rsidR="00F55251" w:rsidRDefault="00F55251" w:rsidP="00753195">
      <w:pPr>
        <w:spacing w:after="0" w:line="240" w:lineRule="auto"/>
      </w:pPr>
      <w:r>
        <w:separator/>
      </w:r>
    </w:p>
  </w:footnote>
  <w:footnote w:type="continuationSeparator" w:id="0">
    <w:p w14:paraId="1FDB21DD" w14:textId="77777777" w:rsidR="00F55251" w:rsidRDefault="00F55251" w:rsidP="00753195">
      <w:pPr>
        <w:spacing w:after="0" w:line="240" w:lineRule="auto"/>
      </w:pPr>
      <w:r>
        <w:continuationSeparator/>
      </w:r>
    </w:p>
  </w:footnote>
  <w:footnote w:id="1">
    <w:p w14:paraId="44D9B850" w14:textId="1F05FB63" w:rsidR="008379A2" w:rsidRDefault="008379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379A2">
          <w:rPr>
            <w:rStyle w:val="Hyperlink"/>
            <w:sz w:val="16"/>
            <w:szCs w:val="16"/>
          </w:rPr>
          <w:t>https://www.economist.com/weeklyedition/2022-09-24</w:t>
        </w:r>
      </w:hyperlink>
      <w:r>
        <w:t xml:space="preserve"> </w:t>
      </w:r>
    </w:p>
  </w:footnote>
  <w:footnote w:id="2">
    <w:p w14:paraId="256DC7D3" w14:textId="2410CAEA" w:rsidR="008379A2" w:rsidRPr="008379A2" w:rsidRDefault="008379A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379A2">
          <w:rPr>
            <w:rStyle w:val="Hyperlink"/>
            <w:sz w:val="16"/>
            <w:szCs w:val="16"/>
          </w:rPr>
          <w:t>https://country.eiu.com/united-arab-emirates</w:t>
        </w:r>
      </w:hyperlink>
      <w:r w:rsidRPr="008379A2">
        <w:rPr>
          <w:sz w:val="16"/>
          <w:szCs w:val="16"/>
        </w:rPr>
        <w:t xml:space="preserve"> </w:t>
      </w:r>
    </w:p>
  </w:footnote>
  <w:footnote w:id="3">
    <w:p w14:paraId="093517DF" w14:textId="0BCED9B8" w:rsidR="008379A2" w:rsidRDefault="008379A2">
      <w:pPr>
        <w:pStyle w:val="FootnoteText"/>
      </w:pPr>
      <w:r w:rsidRPr="008379A2">
        <w:rPr>
          <w:rStyle w:val="FootnoteReference"/>
          <w:sz w:val="16"/>
          <w:szCs w:val="16"/>
        </w:rPr>
        <w:footnoteRef/>
      </w:r>
      <w:r w:rsidRPr="008379A2">
        <w:rPr>
          <w:sz w:val="16"/>
          <w:szCs w:val="16"/>
        </w:rPr>
        <w:t xml:space="preserve"> </w:t>
      </w:r>
      <w:hyperlink r:id="rId3" w:history="1">
        <w:r w:rsidRPr="008379A2">
          <w:rPr>
            <w:rStyle w:val="Hyperlink"/>
            <w:rFonts w:ascii="TimesNewRomanPS-BoldMT" w:hAnsi="TimesNewRomanPS-BoldMT" w:cs="TimesNewRomanPS-BoldMT"/>
            <w:sz w:val="16"/>
            <w:szCs w:val="16"/>
          </w:rPr>
          <w:t>https://thedocs.worldbank.org/en/doc/5bae5632e2d8425830fbf0bac721cce3-0280012021/original/17-mpo-sm21-united-arab-emirates-kcm3.pdf</w:t>
        </w:r>
      </w:hyperlink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3F7"/>
    <w:multiLevelType w:val="hybridMultilevel"/>
    <w:tmpl w:val="88F80DF6"/>
    <w:lvl w:ilvl="0" w:tplc="42B6B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954"/>
    <w:multiLevelType w:val="hybridMultilevel"/>
    <w:tmpl w:val="400095EC"/>
    <w:lvl w:ilvl="0" w:tplc="6C962B80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7059"/>
    <w:multiLevelType w:val="hybridMultilevel"/>
    <w:tmpl w:val="D286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74876"/>
    <w:multiLevelType w:val="hybridMultilevel"/>
    <w:tmpl w:val="C2D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13E9"/>
    <w:multiLevelType w:val="hybridMultilevel"/>
    <w:tmpl w:val="1B667D34"/>
    <w:lvl w:ilvl="0" w:tplc="42B6B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C1273"/>
    <w:multiLevelType w:val="hybridMultilevel"/>
    <w:tmpl w:val="D174EEE6"/>
    <w:lvl w:ilvl="0" w:tplc="2952B882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C750C"/>
    <w:multiLevelType w:val="hybridMultilevel"/>
    <w:tmpl w:val="44B2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6779"/>
    <w:multiLevelType w:val="hybridMultilevel"/>
    <w:tmpl w:val="971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31FEA"/>
    <w:multiLevelType w:val="hybridMultilevel"/>
    <w:tmpl w:val="131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0793">
    <w:abstractNumId w:val="6"/>
  </w:num>
  <w:num w:numId="2" w16cid:durableId="1837695462">
    <w:abstractNumId w:val="5"/>
  </w:num>
  <w:num w:numId="3" w16cid:durableId="1706251814">
    <w:abstractNumId w:val="3"/>
  </w:num>
  <w:num w:numId="4" w16cid:durableId="605503357">
    <w:abstractNumId w:val="8"/>
  </w:num>
  <w:num w:numId="5" w16cid:durableId="1863978781">
    <w:abstractNumId w:val="7"/>
  </w:num>
  <w:num w:numId="6" w16cid:durableId="1013724631">
    <w:abstractNumId w:val="2"/>
  </w:num>
  <w:num w:numId="7" w16cid:durableId="1501458723">
    <w:abstractNumId w:val="0"/>
  </w:num>
  <w:num w:numId="8" w16cid:durableId="1652831483">
    <w:abstractNumId w:val="4"/>
  </w:num>
  <w:num w:numId="9" w16cid:durableId="172860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38"/>
    <w:rsid w:val="000B34FE"/>
    <w:rsid w:val="00182872"/>
    <w:rsid w:val="00195CEE"/>
    <w:rsid w:val="00210B31"/>
    <w:rsid w:val="002D1C00"/>
    <w:rsid w:val="0033265A"/>
    <w:rsid w:val="003903E0"/>
    <w:rsid w:val="00396780"/>
    <w:rsid w:val="0057486E"/>
    <w:rsid w:val="005E0B2C"/>
    <w:rsid w:val="00614238"/>
    <w:rsid w:val="006E5A06"/>
    <w:rsid w:val="006E6D67"/>
    <w:rsid w:val="00753195"/>
    <w:rsid w:val="00792131"/>
    <w:rsid w:val="007F4ECC"/>
    <w:rsid w:val="008379A2"/>
    <w:rsid w:val="008A4033"/>
    <w:rsid w:val="00974197"/>
    <w:rsid w:val="00AE4C27"/>
    <w:rsid w:val="00B31CB2"/>
    <w:rsid w:val="00BD16F5"/>
    <w:rsid w:val="00BF5984"/>
    <w:rsid w:val="00C137A5"/>
    <w:rsid w:val="00D369AD"/>
    <w:rsid w:val="00D44855"/>
    <w:rsid w:val="00E005D7"/>
    <w:rsid w:val="00E3482C"/>
    <w:rsid w:val="00E47C5F"/>
    <w:rsid w:val="00E53BC2"/>
    <w:rsid w:val="00EA14BB"/>
    <w:rsid w:val="00EC7D55"/>
    <w:rsid w:val="00F249C4"/>
    <w:rsid w:val="00F55251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5708"/>
  <w15:chartTrackingRefBased/>
  <w15:docId w15:val="{627F2452-D324-4823-ADF9-0714AE1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0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1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95"/>
  </w:style>
  <w:style w:type="paragraph" w:styleId="Footer">
    <w:name w:val="footer"/>
    <w:basedOn w:val="Normal"/>
    <w:link w:val="FooterChar"/>
    <w:uiPriority w:val="99"/>
    <w:unhideWhenUsed/>
    <w:rsid w:val="0075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2179@columbi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borboni24@gsb.columb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@innate.capita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5bae5632e2d8425830fbf0bac721cce3-0280012021/original/17-mpo-sm21-united-arab-emirates-kcm3.pdf" TargetMode="External"/><Relationship Id="rId2" Type="http://schemas.openxmlformats.org/officeDocument/2006/relationships/hyperlink" Target="https://country.eiu.com/united-arab-emirates" TargetMode="External"/><Relationship Id="rId1" Type="http://schemas.openxmlformats.org/officeDocument/2006/relationships/hyperlink" Target="https://www.economist.com/weeklyedition/2022-09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005C-4EFB-4754-A83C-0366B73F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Tromba Morisco,  Jennifer</dc:creator>
  <cp:keywords/>
  <dc:description/>
  <cp:lastModifiedBy>Aamir A. Rehman</cp:lastModifiedBy>
  <cp:revision>3</cp:revision>
  <dcterms:created xsi:type="dcterms:W3CDTF">2022-11-09T15:06:00Z</dcterms:created>
  <dcterms:modified xsi:type="dcterms:W3CDTF">2022-11-09T15:06:00Z</dcterms:modified>
</cp:coreProperties>
</file>